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bookmarkStart w:id="4" w:name="_GoBack"/>
      <w:bookmarkEnd w:id="4"/>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第17期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15</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15</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31568"/>
      <w:bookmarkStart w:id="1" w:name="_Toc14317"/>
      <w:bookmarkStart w:id="2" w:name="_Toc27463"/>
      <w:bookmarkStart w:id="3" w:name="_Toc28141"/>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rPr>
          <w:rFonts w:hint="eastAsia"/>
          <w:lang w:val="en-US" w:eastAsia="zh-CN"/>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◆中共中央政治局召开会议 习近平主持会议</w:t>
      </w:r>
    </w:p>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◆中央经济工作会议在北京举行 习近平发表重要讲话 李强作总结讲话 赵乐际王沪宁蔡奇丁薛祥李希出席会议</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5</w:t>
      </w:r>
    </w:p>
    <w:p>
      <w:pPr>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中共中央政治局召开会议 习近平主持会议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i w:val="0"/>
          <w:iCs w:val="0"/>
          <w:caps w:val="0"/>
          <w:color w:val="2B2B2B"/>
          <w:spacing w:val="0"/>
          <w:sz w:val="27"/>
          <w:szCs w:val="27"/>
          <w:shd w:val="clear" w:fill="FFFFFF"/>
          <w:lang w:val="en-US" w:eastAsia="zh-CN"/>
        </w:rPr>
        <w:t>来源：新华社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新华社北京12月8日电</w:t>
      </w:r>
      <w:r>
        <w:rPr>
          <w:rFonts w:hint="default" w:ascii="仿宋" w:hAnsi="仿宋" w:eastAsia="仿宋" w:cs="仿宋"/>
          <w:b w:val="0"/>
          <w:bCs w:val="0"/>
          <w:kern w:val="2"/>
          <w:sz w:val="32"/>
          <w:szCs w:val="32"/>
          <w:lang w:val="en-US" w:eastAsia="zh-CN" w:bidi="ar-SA"/>
        </w:rPr>
        <w:t> 中共中央政治局12月8日召开会议，分析研究2024年经济工作；听取中央纪委国家监委工作汇报，研究部署2024年党风廉政建设和反腐败工作；审议《中国共产党纪律处分条例》。中共中央总书记习近平主持会议。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要坚持和加强党的全面领导，高质量落实党中央对经济工作的重大决策部署。要做好“两节”期间重要民生商品保供稳价，保障农民工工资按时足额发放，关心困难群众生产生活，深入落实安全生产责任制，守护好人民群众生命财产安全和身体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纪检监察机关要深入学习贯彻习近平新时代中国特色社会主义思想，坚定不移推进全面从严治党，持续深化正风肃纪反腐。要强化政治监督，推动全党深刻领悟“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此前，习近平总书记主持召开中央政治局常委会会议，听取中央纪委国家监委2023年工作情况和二十届中央纪律检查委员会第三次全体会议准备情况汇报。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会议同意明年1月8日至10日召开二十届中央纪律检查委员会第三次全体会议。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指出，党的十八大以来，我们党先后3次修订《中国共产党纪律处分条例》，就是要始终坚持严的基调，全面加强党的纪律建设，在全链条全周期全覆盖上持续用力，不断增强自我净化、自我完善、自我革新、自我提高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要进一步严明政治纪律和政治规矩，以严明政治纪律带动各项纪律全面从严。要坚持党性党风党纪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Arial" w:hAnsi="Arial" w:eastAsia="宋体" w:cs="Arial"/>
          <w:i w:val="0"/>
          <w:iCs w:val="0"/>
          <w:caps w:val="0"/>
          <w:color w:val="222222"/>
          <w:spacing w:val="0"/>
          <w:kern w:val="0"/>
          <w:sz w:val="27"/>
          <w:szCs w:val="27"/>
          <w:shd w:val="clear" w:fill="FFFFFF"/>
          <w:lang w:val="en-US" w:eastAsia="zh-CN" w:bidi="ar"/>
        </w:rPr>
      </w:pPr>
      <w:r>
        <w:rPr>
          <w:rFonts w:hint="default" w:ascii="方正小标宋简体" w:hAnsi="方正小标宋简体" w:eastAsia="方正小标宋简体" w:cs="方正小标宋简体"/>
          <w:b w:val="0"/>
          <w:bCs w:val="0"/>
          <w:kern w:val="2"/>
          <w:sz w:val="36"/>
          <w:szCs w:val="36"/>
          <w:lang w:val="en-US" w:eastAsia="zh-CN" w:bidi="ar-SA"/>
        </w:rPr>
        <w:t xml:space="preserve">中央经济工作会议在北京举行 习近平发表重要讲话 </w:t>
      </w:r>
      <w:r>
        <w:rPr>
          <w:rFonts w:hint="default" w:ascii="方正小标宋简体" w:hAnsi="方正小标宋简体" w:eastAsia="方正小标宋简体" w:cs="方正小标宋简体"/>
          <w:b w:val="0"/>
          <w:bCs w:val="0"/>
          <w:w w:val="93"/>
          <w:kern w:val="2"/>
          <w:sz w:val="36"/>
          <w:szCs w:val="36"/>
          <w:lang w:val="en-US" w:eastAsia="zh-CN" w:bidi="ar-SA"/>
        </w:rPr>
        <w:t>李强作总结讲话 赵乐际王沪宁蔡奇丁薛祥李希出席会议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rPr>
          <w:rFonts w:hint="default"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w:t>
      </w:r>
      <w:r>
        <w:rPr>
          <w:rFonts w:hint="eastAsia" w:ascii="楷体" w:hAnsi="楷体" w:eastAsia="楷体" w:cs="楷体"/>
          <w:i w:val="0"/>
          <w:iCs w:val="0"/>
          <w:caps w:val="0"/>
          <w:color w:val="2B2B2B"/>
          <w:spacing w:val="0"/>
          <w:sz w:val="27"/>
          <w:szCs w:val="27"/>
          <w:shd w:val="clear" w:fill="FFFFFF"/>
          <w:lang w:val="en-US" w:eastAsia="zh-CN"/>
        </w:rPr>
        <w:fldChar w:fldCharType="begin"/>
      </w:r>
      <w:r>
        <w:rPr>
          <w:rFonts w:hint="eastAsia" w:ascii="楷体" w:hAnsi="楷体" w:eastAsia="楷体" w:cs="楷体"/>
          <w:i w:val="0"/>
          <w:iCs w:val="0"/>
          <w:caps w:val="0"/>
          <w:color w:val="2B2B2B"/>
          <w:spacing w:val="0"/>
          <w:sz w:val="27"/>
          <w:szCs w:val="27"/>
          <w:shd w:val="clear" w:fill="FFFFFF"/>
          <w:lang w:val="en-US" w:eastAsia="zh-CN"/>
        </w:rPr>
        <w:instrText xml:space="preserve"> HYPERLINK "https://author.baidu.com/home?from=bjh_article&amp;app_id=1582378850174815" \t "https://baijiahao.baidu.com/_blank" </w:instrText>
      </w:r>
      <w:r>
        <w:rPr>
          <w:rFonts w:hint="eastAsia" w:ascii="楷体" w:hAnsi="楷体" w:eastAsia="楷体" w:cs="楷体"/>
          <w:i w:val="0"/>
          <w:iCs w:val="0"/>
          <w:caps w:val="0"/>
          <w:color w:val="2B2B2B"/>
          <w:spacing w:val="0"/>
          <w:sz w:val="27"/>
          <w:szCs w:val="27"/>
          <w:shd w:val="clear" w:fill="FFFFFF"/>
          <w:lang w:val="en-US" w:eastAsia="zh-CN"/>
        </w:rPr>
        <w:fldChar w:fldCharType="separate"/>
      </w:r>
      <w:r>
        <w:rPr>
          <w:rFonts w:hint="default" w:ascii="楷体" w:hAnsi="楷体" w:eastAsia="楷体" w:cs="楷体"/>
          <w:i w:val="0"/>
          <w:iCs w:val="0"/>
          <w:caps w:val="0"/>
          <w:color w:val="2B2B2B"/>
          <w:spacing w:val="0"/>
          <w:sz w:val="27"/>
          <w:szCs w:val="27"/>
          <w:shd w:val="clear" w:fill="FFFFFF"/>
          <w:lang w:val="en-US" w:eastAsia="zh-CN"/>
        </w:rPr>
        <w:t>新华社</w:t>
      </w:r>
      <w:r>
        <w:rPr>
          <w:rFonts w:hint="default" w:ascii="楷体" w:hAnsi="楷体" w:eastAsia="楷体" w:cs="楷体"/>
          <w:i w:val="0"/>
          <w:iCs w:val="0"/>
          <w:caps w:val="0"/>
          <w:color w:val="2B2B2B"/>
          <w:spacing w:val="0"/>
          <w:sz w:val="27"/>
          <w:szCs w:val="27"/>
          <w:shd w:val="clear" w:fill="FFFFFF"/>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center"/>
        <w:textAlignment w:val="auto"/>
        <w:rPr>
          <w:rFonts w:hint="default" w:ascii="楷体" w:hAnsi="楷体" w:eastAsia="楷体" w:cs="楷体"/>
          <w:i w:val="0"/>
          <w:iCs w:val="0"/>
          <w:caps w:val="0"/>
          <w:color w:val="2B2B2B"/>
          <w:spacing w:val="0"/>
          <w:sz w:val="27"/>
          <w:szCs w:val="27"/>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新华社北京12月12日电中央经济工作会议12月11日至12日在北京举行。中共中央总书记、国家主席、中央军委主席习近平出席会议并发表重要讲话。中共中央政治局常委李强、赵乐际、王沪宁、蔡奇、丁薛祥、李希出席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习近平在重要讲话中全面总结2023年经济工作，深刻分析当前经济形势，系统部署2024年经济工作。李强作总结讲话，对贯彻落实习近平总书记重要讲话精神、做好明年经济工作提出要求。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会议强调，明年要围绕推动高质量发展，突出重点，把握关键，扎实做好经济工作。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会议要求，要做好岁末年初重要民生商品保供稳价，保障农民工工资按时足额发放，关心困难群众生产生活，深入落实安全生产责任制，守护好人民群众生命财产安全和身体健康。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中共中央政治局委员、中央书记处书记，全国人大常委会有关领导同志，国务委员，最高人民法院院长，最高人民检察院检察长，全国政协有关领导同志以及中央军委委员等出席会议。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各省、自治区、直辖市和计划单列市、新疆生产建设兵团党政主要负责同志，中央和国家机关有关部门、有关人民团体、中央管理的部分金融机构和企业、中央军委机关各部门主要负责同志等参加会议。</w:t>
      </w: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02D269B"/>
    <w:rsid w:val="039D5197"/>
    <w:rsid w:val="04357BE8"/>
    <w:rsid w:val="060E445D"/>
    <w:rsid w:val="120174E4"/>
    <w:rsid w:val="150E636D"/>
    <w:rsid w:val="16306880"/>
    <w:rsid w:val="197A4682"/>
    <w:rsid w:val="229359C4"/>
    <w:rsid w:val="22B677EA"/>
    <w:rsid w:val="28757E8C"/>
    <w:rsid w:val="299A17B8"/>
    <w:rsid w:val="2BBE2852"/>
    <w:rsid w:val="37346477"/>
    <w:rsid w:val="37407EB9"/>
    <w:rsid w:val="396D4E3E"/>
    <w:rsid w:val="3D1F2599"/>
    <w:rsid w:val="44CC419B"/>
    <w:rsid w:val="44EB5998"/>
    <w:rsid w:val="474B27E6"/>
    <w:rsid w:val="4C1E7F70"/>
    <w:rsid w:val="4F80627C"/>
    <w:rsid w:val="583059FA"/>
    <w:rsid w:val="617E4C71"/>
    <w:rsid w:val="61EE4742"/>
    <w:rsid w:val="633F0785"/>
    <w:rsid w:val="63992A1B"/>
    <w:rsid w:val="64DB5EDD"/>
    <w:rsid w:val="6F9E03B3"/>
    <w:rsid w:val="70631476"/>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2</TotalTime>
  <ScaleCrop>false</ScaleCrop>
  <LinksUpToDate>false</LinksUpToDate>
  <CharactersWithSpaces>3548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刘敏</cp:lastModifiedBy>
  <dcterms:modified xsi:type="dcterms:W3CDTF">2023-12-19T02:13:23Z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5E8C792DC8DE4002B830D89F6B6B0683_13</vt:lpwstr>
  </property>
</Properties>
</file>