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方正小标宋简体" w:hAnsi="方正小标宋简体" w:eastAsia="方正小标宋简体" w:cs="方正小标宋简体"/>
          <w:b/>
          <w:color w:val="FF0000"/>
          <w:spacing w:val="20"/>
          <w:sz w:val="96"/>
          <w:szCs w:val="96"/>
        </w:rPr>
      </w:pPr>
      <w:r>
        <w:rPr>
          <w:rFonts w:hint="eastAsia" w:ascii="方正小标宋简体" w:hAnsi="方正小标宋简体" w:eastAsia="方正小标宋简体" w:cs="方正小标宋简体"/>
          <w:b/>
          <w:color w:val="FF0000"/>
          <w:spacing w:val="20"/>
          <w:sz w:val="96"/>
          <w:szCs w:val="96"/>
          <w:lang w:eastAsia="zh-CN"/>
        </w:rPr>
        <w:t>教职工政治</w:t>
      </w:r>
      <w:r>
        <w:rPr>
          <w:rFonts w:hint="eastAsia" w:ascii="方正小标宋简体" w:hAnsi="方正小标宋简体" w:eastAsia="方正小标宋简体" w:cs="方正小标宋简体"/>
          <w:b/>
          <w:color w:val="FF0000"/>
          <w:spacing w:val="20"/>
          <w:sz w:val="96"/>
          <w:szCs w:val="96"/>
        </w:rPr>
        <w:t>学习</w:t>
      </w:r>
    </w:p>
    <w:p>
      <w:pPr>
        <w:spacing w:before="156" w:beforeLines="50"/>
        <w:jc w:val="center"/>
        <w:rPr>
          <w:rFonts w:ascii="方正小标宋简体" w:hAnsi="方正小标宋简体" w:eastAsia="方正小标宋简体" w:cs="方正小标宋简体"/>
          <w:b/>
          <w:color w:val="FF0000"/>
          <w:sz w:val="96"/>
          <w:szCs w:val="96"/>
        </w:rPr>
      </w:pPr>
      <w:r>
        <w:rPr>
          <w:rFonts w:hint="eastAsia" w:ascii="方正小标宋简体" w:hAnsi="方正小标宋简体" w:eastAsia="方正小标宋简体" w:cs="方正小标宋简体"/>
          <w:b/>
          <w:color w:val="FF0000"/>
          <w:sz w:val="96"/>
          <w:szCs w:val="96"/>
        </w:rPr>
        <w:t>参</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考</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资</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料</w:t>
      </w:r>
    </w:p>
    <w:p>
      <w:pPr>
        <w:spacing w:before="156" w:beforeLines="50"/>
        <w:jc w:val="center"/>
        <w:rPr>
          <w:rFonts w:hint="default" w:ascii="仿宋_GB2312" w:hAnsi="宋体" w:eastAsia="仿宋_GB2312" w:cs="Times New Roman"/>
          <w:b/>
          <w:sz w:val="32"/>
          <w:szCs w:val="32"/>
          <w:lang w:val="en-US" w:eastAsia="zh-CN"/>
        </w:rPr>
      </w:pPr>
      <w:r>
        <w:rPr>
          <w:rFonts w:hint="eastAsia" w:ascii="仿宋_GB2312" w:hAnsi="宋体" w:eastAsia="仿宋_GB2312" w:cs="Times New Roman"/>
          <w:b/>
          <w:sz w:val="32"/>
          <w:szCs w:val="32"/>
          <w:lang w:val="en-US" w:eastAsia="zh-CN"/>
        </w:rPr>
        <w:t>第3期</w:t>
      </w:r>
    </w:p>
    <w:p>
      <w:pPr>
        <w:spacing w:line="240" w:lineRule="atLeast"/>
        <w:rPr>
          <w:rFonts w:ascii="华文仿宋" w:hAnsi="华文仿宋" w:eastAsia="华文仿宋" w:cs="Times New Roman"/>
          <w:b/>
          <w:sz w:val="28"/>
          <w:szCs w:val="28"/>
        </w:rPr>
      </w:pPr>
      <w:r>
        <w:rPr>
          <w:rFonts w:hint="eastAsia" w:ascii="华文仿宋" w:hAnsi="华文仿宋" w:eastAsia="华文仿宋" w:cs="Times New Roman"/>
          <w:b/>
          <w:sz w:val="28"/>
          <w:szCs w:val="28"/>
        </w:rPr>
        <mc:AlternateContent>
          <mc:Choice Requires="wps">
            <w:drawing>
              <wp:anchor distT="0" distB="0" distL="0" distR="0" simplePos="0" relativeHeight="251659264" behindDoc="1" locked="0" layoutInCell="1" allowOverlap="1">
                <wp:simplePos x="0" y="0"/>
                <wp:positionH relativeFrom="column">
                  <wp:posOffset>-228600</wp:posOffset>
                </wp:positionH>
                <wp:positionV relativeFrom="paragraph">
                  <wp:posOffset>0</wp:posOffset>
                </wp:positionV>
                <wp:extent cx="6057900" cy="544830"/>
                <wp:effectExtent l="5080" t="4445" r="13970" b="22225"/>
                <wp:wrapNone/>
                <wp:docPr id="1026" name="文本框 3"/>
                <wp:cNvGraphicFramePr/>
                <a:graphic xmlns:a="http://schemas.openxmlformats.org/drawingml/2006/main">
                  <a:graphicData uri="http://schemas.microsoft.com/office/word/2010/wordprocessingShape">
                    <wps:wsp>
                      <wps:cNvSpPr/>
                      <wps:spPr>
                        <a:xfrm>
                          <a:off x="0" y="0"/>
                          <a:ext cx="6057900" cy="54483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spacing w:before="156" w:beforeLines="50" w:line="240" w:lineRule="atLeast"/>
                              <w:ind w:firstLine="157" w:firstLineChars="49"/>
                              <w:rPr>
                                <w:rFonts w:ascii="Calibri" w:hAnsi="Calibri" w:eastAsia="宋体" w:cs="Times New Roman"/>
                              </w:rPr>
                            </w:pPr>
                            <w:r>
                              <w:rPr>
                                <w:rFonts w:hint="eastAsia" w:ascii="仿宋_GB2312" w:hAnsi="宋体" w:eastAsia="仿宋_GB2312" w:cs="Times New Roman"/>
                                <w:b/>
                                <w:color w:val="000000"/>
                                <w:sz w:val="32"/>
                                <w:szCs w:val="32"/>
                                <w:lang w:eastAsia="zh-CN"/>
                              </w:rPr>
                              <w:t>内江师范学院</w:t>
                            </w:r>
                            <w:r>
                              <w:rPr>
                                <w:rFonts w:hint="eastAsia" w:ascii="仿宋_GB2312" w:hAnsi="宋体" w:eastAsia="仿宋_GB2312" w:cs="Times New Roman"/>
                                <w:b/>
                                <w:color w:val="000000"/>
                                <w:sz w:val="32"/>
                                <w:szCs w:val="32"/>
                              </w:rPr>
                              <w:t>党委宣传部编</w:t>
                            </w:r>
                            <w:r>
                              <w:rPr>
                                <w:rFonts w:hint="eastAsia" w:ascii="宋体" w:hAnsi="宋体" w:eastAsia="宋体" w:cs="Times New Roman"/>
                                <w:b/>
                                <w:color w:val="000000"/>
                                <w:sz w:val="28"/>
                                <w:szCs w:val="28"/>
                              </w:rPr>
                              <w:t xml:space="preserve">                 </w:t>
                            </w:r>
                            <w:r>
                              <w:rPr>
                                <w:rFonts w:ascii="仿宋_GB2312" w:hAnsi="宋体" w:eastAsia="仿宋_GB2312" w:cs="Times New Roman"/>
                                <w:b/>
                                <w:color w:val="000000"/>
                                <w:sz w:val="32"/>
                                <w:szCs w:val="32"/>
                              </w:rPr>
                              <w:t>20</w:t>
                            </w:r>
                            <w:r>
                              <w:rPr>
                                <w:rFonts w:hint="eastAsia" w:ascii="仿宋_GB2312" w:hAnsi="宋体" w:eastAsia="仿宋_GB2312" w:cs="Times New Roman"/>
                                <w:b/>
                                <w:color w:val="000000"/>
                                <w:sz w:val="32"/>
                                <w:szCs w:val="32"/>
                              </w:rPr>
                              <w:t>2</w:t>
                            </w:r>
                            <w:r>
                              <w:rPr>
                                <w:rFonts w:hint="eastAsia" w:ascii="仿宋_GB2312" w:hAnsi="宋体" w:eastAsia="仿宋_GB2312" w:cs="Times New Roman"/>
                                <w:b/>
                                <w:color w:val="000000"/>
                                <w:sz w:val="32"/>
                                <w:szCs w:val="32"/>
                                <w:lang w:val="en-US" w:eastAsia="zh-CN"/>
                              </w:rPr>
                              <w:t>3</w:t>
                            </w:r>
                            <w:r>
                              <w:rPr>
                                <w:rFonts w:ascii="仿宋_GB2312" w:hAnsi="宋体" w:eastAsia="仿宋_GB2312" w:cs="Times New Roman"/>
                                <w:b/>
                                <w:color w:val="000000"/>
                                <w:sz w:val="32"/>
                                <w:szCs w:val="32"/>
                              </w:rPr>
                              <w:t>年</w:t>
                            </w:r>
                            <w:r>
                              <w:rPr>
                                <w:rFonts w:hint="eastAsia" w:ascii="仿宋_GB2312" w:hAnsi="宋体" w:eastAsia="仿宋_GB2312" w:cs="Times New Roman"/>
                                <w:b/>
                                <w:color w:val="000000"/>
                                <w:sz w:val="32"/>
                                <w:szCs w:val="32"/>
                                <w:lang w:val="en-US" w:eastAsia="zh-CN"/>
                              </w:rPr>
                              <w:t>3</w:t>
                            </w:r>
                            <w:r>
                              <w:rPr>
                                <w:rFonts w:hint="eastAsia" w:ascii="仿宋_GB2312" w:hAnsi="宋体" w:eastAsia="仿宋_GB2312" w:cs="Times New Roman"/>
                                <w:b/>
                                <w:color w:val="000000"/>
                                <w:sz w:val="32"/>
                                <w:szCs w:val="32"/>
                              </w:rPr>
                              <w:t>月</w:t>
                            </w:r>
                            <w:r>
                              <w:rPr>
                                <w:rFonts w:hint="eastAsia" w:ascii="仿宋_GB2312" w:hAnsi="宋体" w:eastAsia="仿宋_GB2312" w:cs="Times New Roman"/>
                                <w:b/>
                                <w:color w:val="000000"/>
                                <w:sz w:val="32"/>
                                <w:szCs w:val="32"/>
                                <w:lang w:val="en-US" w:eastAsia="zh-CN"/>
                              </w:rPr>
                              <w:t>27</w:t>
                            </w:r>
                            <w:r>
                              <w:rPr>
                                <w:rFonts w:hint="eastAsia" w:ascii="仿宋_GB2312" w:hAnsi="宋体" w:eastAsia="仿宋_GB2312" w:cs="Times New Roman"/>
                                <w:b/>
                                <w:color w:val="000000"/>
                                <w:sz w:val="32"/>
                                <w:szCs w:val="32"/>
                              </w:rPr>
                              <w:t>日</w:t>
                            </w:r>
                          </w:p>
                        </w:txbxContent>
                      </wps:txbx>
                      <wps:bodyPr upright="1"/>
                    </wps:wsp>
                  </a:graphicData>
                </a:graphic>
              </wp:anchor>
            </w:drawing>
          </mc:Choice>
          <mc:Fallback>
            <w:pict>
              <v:rect id="文本框 3" o:spid="_x0000_s1026" o:spt="1" style="position:absolute;left:0pt;margin-left:-18pt;margin-top:0pt;height:42.9pt;width:477pt;z-index:-251657216;mso-width-relative:page;mso-height-relative:page;" fillcolor="#FFFFFF" filled="t" stroked="t" coordsize="21600,21600" o:gfxdata="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VlaUF0wAAAAcBAAAPAAAAAAAAAAEA&#10;IAAAACIAAABkcnMvZG93bnJldi54bWxQSwECFAAUAAAACACHTuJAXmoSMRQCAABMBAAADgAAAAAA&#10;AAABACAAAAAiAQAAZHJzL2Uyb0RvYy54bWxQSwUGAAAAAAYABgBZAQAAqAUAAAAA&#10;">
                <v:fill on="t" opacity="0f" focussize="0,0"/>
                <v:stroke color="#FFFFFF" joinstyle="miter"/>
                <v:imagedata o:title=""/>
                <o:lock v:ext="edit" aspectratio="f"/>
                <v:textbox>
                  <w:txbxContent>
                    <w:p>
                      <w:pPr>
                        <w:spacing w:before="156" w:beforeLines="50" w:line="240" w:lineRule="atLeast"/>
                        <w:ind w:firstLine="157" w:firstLineChars="49"/>
                        <w:rPr>
                          <w:rFonts w:ascii="Calibri" w:hAnsi="Calibri" w:eastAsia="宋体" w:cs="Times New Roman"/>
                        </w:rPr>
                      </w:pPr>
                      <w:r>
                        <w:rPr>
                          <w:rFonts w:hint="eastAsia" w:ascii="仿宋_GB2312" w:hAnsi="宋体" w:eastAsia="仿宋_GB2312" w:cs="Times New Roman"/>
                          <w:b/>
                          <w:color w:val="000000"/>
                          <w:sz w:val="32"/>
                          <w:szCs w:val="32"/>
                          <w:lang w:eastAsia="zh-CN"/>
                        </w:rPr>
                        <w:t>内江师范学院</w:t>
                      </w:r>
                      <w:r>
                        <w:rPr>
                          <w:rFonts w:hint="eastAsia" w:ascii="仿宋_GB2312" w:hAnsi="宋体" w:eastAsia="仿宋_GB2312" w:cs="Times New Roman"/>
                          <w:b/>
                          <w:color w:val="000000"/>
                          <w:sz w:val="32"/>
                          <w:szCs w:val="32"/>
                        </w:rPr>
                        <w:t>党委宣传部编</w:t>
                      </w:r>
                      <w:r>
                        <w:rPr>
                          <w:rFonts w:hint="eastAsia" w:ascii="宋体" w:hAnsi="宋体" w:eastAsia="宋体" w:cs="Times New Roman"/>
                          <w:b/>
                          <w:color w:val="000000"/>
                          <w:sz w:val="28"/>
                          <w:szCs w:val="28"/>
                        </w:rPr>
                        <w:t xml:space="preserve">                 </w:t>
                      </w:r>
                      <w:r>
                        <w:rPr>
                          <w:rFonts w:ascii="仿宋_GB2312" w:hAnsi="宋体" w:eastAsia="仿宋_GB2312" w:cs="Times New Roman"/>
                          <w:b/>
                          <w:color w:val="000000"/>
                          <w:sz w:val="32"/>
                          <w:szCs w:val="32"/>
                        </w:rPr>
                        <w:t>20</w:t>
                      </w:r>
                      <w:r>
                        <w:rPr>
                          <w:rFonts w:hint="eastAsia" w:ascii="仿宋_GB2312" w:hAnsi="宋体" w:eastAsia="仿宋_GB2312" w:cs="Times New Roman"/>
                          <w:b/>
                          <w:color w:val="000000"/>
                          <w:sz w:val="32"/>
                          <w:szCs w:val="32"/>
                        </w:rPr>
                        <w:t>2</w:t>
                      </w:r>
                      <w:r>
                        <w:rPr>
                          <w:rFonts w:hint="eastAsia" w:ascii="仿宋_GB2312" w:hAnsi="宋体" w:eastAsia="仿宋_GB2312" w:cs="Times New Roman"/>
                          <w:b/>
                          <w:color w:val="000000"/>
                          <w:sz w:val="32"/>
                          <w:szCs w:val="32"/>
                          <w:lang w:val="en-US" w:eastAsia="zh-CN"/>
                        </w:rPr>
                        <w:t>3</w:t>
                      </w:r>
                      <w:r>
                        <w:rPr>
                          <w:rFonts w:ascii="仿宋_GB2312" w:hAnsi="宋体" w:eastAsia="仿宋_GB2312" w:cs="Times New Roman"/>
                          <w:b/>
                          <w:color w:val="000000"/>
                          <w:sz w:val="32"/>
                          <w:szCs w:val="32"/>
                        </w:rPr>
                        <w:t>年</w:t>
                      </w:r>
                      <w:r>
                        <w:rPr>
                          <w:rFonts w:hint="eastAsia" w:ascii="仿宋_GB2312" w:hAnsi="宋体" w:eastAsia="仿宋_GB2312" w:cs="Times New Roman"/>
                          <w:b/>
                          <w:color w:val="000000"/>
                          <w:sz w:val="32"/>
                          <w:szCs w:val="32"/>
                          <w:lang w:val="en-US" w:eastAsia="zh-CN"/>
                        </w:rPr>
                        <w:t>3</w:t>
                      </w:r>
                      <w:r>
                        <w:rPr>
                          <w:rFonts w:hint="eastAsia" w:ascii="仿宋_GB2312" w:hAnsi="宋体" w:eastAsia="仿宋_GB2312" w:cs="Times New Roman"/>
                          <w:b/>
                          <w:color w:val="000000"/>
                          <w:sz w:val="32"/>
                          <w:szCs w:val="32"/>
                        </w:rPr>
                        <w:t>月</w:t>
                      </w:r>
                      <w:r>
                        <w:rPr>
                          <w:rFonts w:hint="eastAsia" w:ascii="仿宋_GB2312" w:hAnsi="宋体" w:eastAsia="仿宋_GB2312" w:cs="Times New Roman"/>
                          <w:b/>
                          <w:color w:val="000000"/>
                          <w:sz w:val="32"/>
                          <w:szCs w:val="32"/>
                          <w:lang w:val="en-US" w:eastAsia="zh-CN"/>
                        </w:rPr>
                        <w:t>27</w:t>
                      </w:r>
                      <w:r>
                        <w:rPr>
                          <w:rFonts w:hint="eastAsia" w:ascii="仿宋_GB2312" w:hAnsi="宋体" w:eastAsia="仿宋_GB2312" w:cs="Times New Roman"/>
                          <w:b/>
                          <w:color w:val="000000"/>
                          <w:sz w:val="32"/>
                          <w:szCs w:val="32"/>
                        </w:rPr>
                        <w:t>日</w:t>
                      </w:r>
                    </w:p>
                  </w:txbxContent>
                </v:textbox>
              </v:rect>
            </w:pict>
          </mc:Fallback>
        </mc:AlternateContent>
      </w:r>
      <w:r>
        <w:rPr>
          <w:rFonts w:hint="eastAsia" w:ascii="宋体" w:hAnsi="宋体" w:eastAsia="宋体" w:cs="Times New Roman"/>
          <w:b/>
          <w:sz w:val="28"/>
          <w:szCs w:val="28"/>
        </w:rPr>
        <mc:AlternateContent>
          <mc:Choice Requires="wps">
            <w:drawing>
              <wp:anchor distT="0" distB="0" distL="0" distR="0" simplePos="0" relativeHeight="251659264" behindDoc="0" locked="0" layoutInCell="1" allowOverlap="1">
                <wp:simplePos x="0" y="0"/>
                <wp:positionH relativeFrom="column">
                  <wp:posOffset>-92710</wp:posOffset>
                </wp:positionH>
                <wp:positionV relativeFrom="paragraph">
                  <wp:posOffset>99060</wp:posOffset>
                </wp:positionV>
                <wp:extent cx="5805170" cy="0"/>
                <wp:effectExtent l="0" t="9525" r="5080" b="9525"/>
                <wp:wrapNone/>
                <wp:docPr id="1027" name="直接连接符 4"/>
                <wp:cNvGraphicFramePr/>
                <a:graphic xmlns:a="http://schemas.openxmlformats.org/drawingml/2006/main">
                  <a:graphicData uri="http://schemas.microsoft.com/office/word/2010/wordprocessingShape">
                    <wps:wsp>
                      <wps:cNvCnPr/>
                      <wps:spPr>
                        <a:xfrm>
                          <a:off x="0" y="0"/>
                          <a:ext cx="5805170" cy="0"/>
                        </a:xfrm>
                        <a:prstGeom prst="line">
                          <a:avLst/>
                        </a:prstGeom>
                        <a:ln w="19050" cap="flat" cmpd="sng">
                          <a:solidFill>
                            <a:srgbClr val="FFFFFF"/>
                          </a:solidFill>
                          <a:prstDash val="solid"/>
                          <a:round/>
                          <a:headEnd type="none" w="med" len="med"/>
                          <a:tailEnd type="none" w="med" len="med"/>
                        </a:ln>
                      </wps:spPr>
                      <wps:bodyPr/>
                    </wps:wsp>
                  </a:graphicData>
                </a:graphic>
              </wp:anchor>
            </w:drawing>
          </mc:Choice>
          <mc:Fallback>
            <w:pict>
              <v:line id="直接连接符 4" o:spid="_x0000_s1026" o:spt="20" style="position:absolute;left:0pt;margin-left:-7.3pt;margin-top:7.8pt;height:0pt;width:457.1pt;z-index:251659264;mso-width-relative:page;mso-height-relative:page;" filled="f" stroked="t" coordsize="21600,21600" o:gfxdata="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5LZRLXAAAACQEAAA8AAAAAAAAAAQAgAAAAIgAAAGRycy9kb3ducmV2LnhtbFBLAQIU&#10;ABQAAAAIAIdO4kDDgsAv9AEAAOYDAAAOAAAAAAAAAAEAIAAAACYBAABkcnMvZTJvRG9jLnhtbFBL&#10;BQYAAAAABgAGAFkBAACMBQAAAAA=&#10;">
                <v:fill on="f" focussize="0,0"/>
                <v:stroke weight="1.5pt" color="#FFFFFF" joinstyle="round"/>
                <v:imagedata o:title=""/>
                <o:lock v:ext="edit" aspectratio="f"/>
              </v:line>
            </w:pict>
          </mc:Fallback>
        </mc:AlternateContent>
      </w:r>
      <w:bookmarkStart w:id="0" w:name="_Toc14317"/>
      <w:bookmarkStart w:id="1" w:name="_Toc27463"/>
      <w:bookmarkStart w:id="2" w:name="_Toc28141"/>
      <w:bookmarkStart w:id="3" w:name="_Toc31568"/>
    </w:p>
    <w:p>
      <w:pPr>
        <w:spacing w:line="240" w:lineRule="atLeast"/>
        <w:rPr>
          <w:rFonts w:ascii="仿宋_GB2312" w:hAnsi="Cambria" w:eastAsia="仿宋_GB2312" w:cs="Times New Roman"/>
          <w:b/>
          <w:kern w:val="0"/>
          <w:sz w:val="36"/>
          <w:szCs w:val="36"/>
          <w:lang w:val="zh-CN"/>
        </w:rPr>
      </w:pPr>
      <w:r>
        <w:rPr>
          <w:rFonts w:ascii="Calibri" w:hAnsi="Calibri" w:eastAsia="宋体" w:cs="Times New Roman"/>
          <w:sz w:val="36"/>
        </w:rPr>
        <mc:AlternateContent>
          <mc:Choice Requires="wps">
            <w:drawing>
              <wp:anchor distT="0" distB="0" distL="0" distR="0" simplePos="0" relativeHeight="251659264" behindDoc="0" locked="0" layoutInCell="1" allowOverlap="1">
                <wp:simplePos x="0" y="0"/>
                <wp:positionH relativeFrom="column">
                  <wp:posOffset>-93345</wp:posOffset>
                </wp:positionH>
                <wp:positionV relativeFrom="paragraph">
                  <wp:posOffset>57785</wp:posOffset>
                </wp:positionV>
                <wp:extent cx="5819775" cy="9525"/>
                <wp:effectExtent l="0" t="0" r="0" b="0"/>
                <wp:wrapNone/>
                <wp:docPr id="1028" name="直接连接符 2"/>
                <wp:cNvGraphicFramePr/>
                <a:graphic xmlns:a="http://schemas.openxmlformats.org/drawingml/2006/main">
                  <a:graphicData uri="http://schemas.microsoft.com/office/word/2010/wordprocessingShape">
                    <wps:wsp>
                      <wps:cNvCnPr/>
                      <wps:spPr>
                        <a:xfrm flipV="1">
                          <a:off x="0" y="0"/>
                          <a:ext cx="5819775" cy="9525"/>
                        </a:xfrm>
                        <a:prstGeom prst="line">
                          <a:avLst/>
                        </a:prstGeom>
                        <a:ln w="9525" cap="flat" cmpd="sng">
                          <a:solidFill>
                            <a:srgbClr val="FF0000"/>
                          </a:solidFill>
                          <a:prstDash val="solid"/>
                          <a:round/>
                          <a:headEnd type="none" w="med" len="med"/>
                          <a:tailEnd type="none" w="med" len="med"/>
                        </a:ln>
                      </wps:spPr>
                      <wps:bodyPr/>
                    </wps:wsp>
                  </a:graphicData>
                </a:graphic>
              </wp:anchor>
            </w:drawing>
          </mc:Choice>
          <mc:Fallback>
            <w:pict>
              <v:line id="直接连接符 2" o:spid="_x0000_s1026" o:spt="20" style="position:absolute;left:0pt;flip:y;margin-left:-7.35pt;margin-top:4.55pt;height:0.75pt;width:458.25pt;z-index:251659264;mso-width-relative:page;mso-height-relative:page;" filled="f" stroked="t" coordsize="21600,21600" o:gfxdata="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1vMvH1wAAAAgBAAAPAAAAAAAAAAEAIAAAACIAAABkcnMvZG93bnJldi54&#10;bWxQSwECFAAUAAAACACHTuJAx5CxY/sBAADyAwAADgAAAAAAAAABACAAAAAmAQAAZHJzL2Uyb0Rv&#10;Yy54bWxQSwUGAAAAAAYABgBZAQAAkwUAAAAA&#10;">
                <v:fill on="f" focussize="0,0"/>
                <v:stroke color="#FF0000" joinstyle="round"/>
                <v:imagedata o:title=""/>
                <o:lock v:ext="edit" aspectratio="f"/>
              </v:line>
            </w:pict>
          </mc:Fallback>
        </mc:AlternateContent>
      </w:r>
    </w:p>
    <w:p>
      <w:pPr>
        <w:spacing w:line="240" w:lineRule="atLeast"/>
        <w:rPr>
          <w:rFonts w:ascii="仿宋_GB2312" w:hAnsi="Cambria" w:eastAsia="仿宋_GB2312" w:cs="Times New Roman"/>
          <w:b/>
          <w:kern w:val="0"/>
          <w:sz w:val="36"/>
          <w:szCs w:val="36"/>
          <w:lang w:val="zh-CN"/>
        </w:rPr>
      </w:pPr>
    </w:p>
    <w:p>
      <w:pPr>
        <w:spacing w:line="240" w:lineRule="atLeast"/>
        <w:rPr>
          <w:rFonts w:ascii="仿宋_GB2312" w:hAnsi="Cambria" w:eastAsia="仿宋_GB2312" w:cs="Times New Roman"/>
          <w:b/>
          <w:kern w:val="0"/>
          <w:sz w:val="36"/>
          <w:szCs w:val="36"/>
          <w:lang w:val="zh-CN"/>
        </w:rPr>
      </w:pPr>
    </w:p>
    <w:p>
      <w:pPr>
        <w:spacing w:line="240" w:lineRule="atLeast"/>
        <w:rPr>
          <w:rFonts w:ascii="华文仿宋" w:hAnsi="华文仿宋" w:eastAsia="华文仿宋" w:cs="Times New Roman"/>
          <w:b/>
          <w:sz w:val="36"/>
          <w:szCs w:val="36"/>
        </w:rPr>
      </w:pPr>
      <w:r>
        <w:rPr>
          <w:rFonts w:hint="eastAsia" w:ascii="仿宋_GB2312" w:hAnsi="Cambria" w:eastAsia="仿宋_GB2312" w:cs="Times New Roman"/>
          <w:b/>
          <w:kern w:val="0"/>
          <w:sz w:val="36"/>
          <w:szCs w:val="36"/>
          <w:lang w:val="zh-CN"/>
        </w:rPr>
        <w:t>本期要目</w:t>
      </w:r>
      <w:bookmarkEnd w:id="0"/>
      <w:bookmarkEnd w:id="1"/>
      <w:bookmarkEnd w:id="2"/>
      <w:bookmarkEnd w:id="3"/>
    </w:p>
    <w:p>
      <w:pPr>
        <w:spacing w:line="360" w:lineRule="auto"/>
        <w:rPr>
          <w:rFonts w:ascii="仿宋_GB2312" w:hAnsi="Calibri" w:eastAsia="仿宋_GB2312" w:cs="Times New Roman"/>
          <w:b/>
          <w:bCs/>
          <w:sz w:val="36"/>
          <w:szCs w:val="3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780" w:lineRule="atLeast"/>
        <w:ind w:left="0" w:right="0" w:firstLine="0"/>
        <w:jc w:val="left"/>
        <w:rPr>
          <w:rFonts w:hint="eastAsia" w:ascii="仿宋" w:hAnsi="仿宋" w:eastAsia="仿宋" w:cs="仿宋"/>
          <w:b w:val="0"/>
          <w:bCs/>
          <w:snapToGrid w:val="0"/>
          <w:spacing w:val="-8"/>
          <w:kern w:val="2"/>
          <w:sz w:val="32"/>
          <w:szCs w:val="32"/>
          <w:lang w:val="en-US" w:eastAsia="zh-CN" w:bidi="ar-SA"/>
        </w:rPr>
      </w:pPr>
      <w:r>
        <w:rPr>
          <w:rFonts w:hint="eastAsia" w:ascii="仿宋" w:hAnsi="仿宋" w:eastAsia="仿宋" w:cs="仿宋"/>
          <w:b w:val="0"/>
          <w:bCs/>
          <w:snapToGrid w:val="0"/>
          <w:spacing w:val="-8"/>
          <w:kern w:val="2"/>
          <w:sz w:val="36"/>
          <w:szCs w:val="36"/>
          <w:lang w:val="en-US" w:eastAsia="zh-CN" w:bidi="ar-SA"/>
        </w:rPr>
        <w:t>◆</w:t>
      </w:r>
      <w:r>
        <w:rPr>
          <w:rFonts w:hint="eastAsia" w:ascii="仿宋" w:hAnsi="仿宋" w:eastAsia="仿宋" w:cs="仿宋"/>
          <w:b w:val="0"/>
          <w:bCs/>
          <w:snapToGrid w:val="0"/>
          <w:spacing w:val="-8"/>
          <w:kern w:val="2"/>
          <w:sz w:val="32"/>
          <w:szCs w:val="32"/>
          <w:lang w:val="en-US" w:eastAsia="zh-CN" w:bidi="ar-SA"/>
        </w:rPr>
        <w:t>中国共产党第二十届中央委员会第二次全体会议公报</w:t>
      </w:r>
    </w:p>
    <w:p>
      <w:pPr>
        <w:tabs>
          <w:tab w:val="right" w:leader="dot" w:pos="8296"/>
        </w:tabs>
        <w:spacing w:line="560" w:lineRule="exact"/>
        <w:rPr>
          <w:rFonts w:hint="default" w:ascii="仿宋" w:hAnsi="仿宋" w:eastAsia="仿宋" w:cs="仿宋"/>
          <w:bCs/>
          <w:snapToGrid w:val="0"/>
          <w:spacing w:val="-8"/>
          <w:sz w:val="36"/>
          <w:szCs w:val="36"/>
          <w:lang w:val="en-US" w:eastAsia="zh-CN"/>
        </w:rPr>
      </w:pPr>
      <w:r>
        <w:rPr>
          <w:rFonts w:hint="eastAsia" w:ascii="仿宋" w:hAnsi="仿宋" w:eastAsia="仿宋" w:cs="仿宋"/>
          <w:b w:val="0"/>
          <w:bCs/>
          <w:snapToGrid w:val="0"/>
          <w:spacing w:val="-8"/>
          <w:kern w:val="2"/>
          <w:sz w:val="36"/>
          <w:szCs w:val="36"/>
          <w:lang w:val="en-US" w:eastAsia="zh-CN" w:bidi="ar-SA"/>
        </w:rPr>
        <w:tab/>
      </w:r>
      <w:r>
        <w:rPr>
          <w:rFonts w:hint="eastAsia" w:ascii="仿宋" w:hAnsi="仿宋" w:eastAsia="仿宋" w:cs="仿宋"/>
          <w:b w:val="0"/>
          <w:bCs/>
          <w:snapToGrid w:val="0"/>
          <w:spacing w:val="-8"/>
          <w:kern w:val="2"/>
          <w:sz w:val="36"/>
          <w:szCs w:val="36"/>
          <w:lang w:val="en-US" w:eastAsia="zh-CN" w:bidi="ar-SA"/>
        </w:rPr>
        <w:t>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780" w:lineRule="atLeast"/>
        <w:ind w:left="0" w:right="0" w:firstLine="0"/>
        <w:jc w:val="left"/>
        <w:rPr>
          <w:rFonts w:hint="eastAsia" w:ascii="仿宋" w:hAnsi="仿宋" w:eastAsia="仿宋" w:cs="仿宋"/>
          <w:b w:val="0"/>
          <w:bCs/>
          <w:snapToGrid w:val="0"/>
          <w:spacing w:val="-8"/>
          <w:kern w:val="2"/>
          <w:sz w:val="32"/>
          <w:szCs w:val="32"/>
          <w:lang w:val="en-US" w:eastAsia="zh-CN" w:bidi="ar-SA"/>
        </w:rPr>
      </w:pPr>
      <w:r>
        <w:rPr>
          <w:rFonts w:hint="eastAsia" w:ascii="仿宋" w:hAnsi="仿宋" w:eastAsia="仿宋" w:cs="仿宋"/>
          <w:b w:val="0"/>
          <w:bCs/>
          <w:snapToGrid w:val="0"/>
          <w:spacing w:val="-8"/>
          <w:kern w:val="2"/>
          <w:sz w:val="36"/>
          <w:szCs w:val="36"/>
          <w:lang w:val="en-US" w:eastAsia="zh-CN" w:bidi="ar-SA"/>
        </w:rPr>
        <w:t>◆</w:t>
      </w:r>
      <w:r>
        <w:rPr>
          <w:rFonts w:hint="eastAsia" w:ascii="仿宋" w:hAnsi="仿宋" w:eastAsia="仿宋" w:cs="仿宋"/>
          <w:b w:val="0"/>
          <w:bCs/>
          <w:snapToGrid w:val="0"/>
          <w:spacing w:val="-8"/>
          <w:kern w:val="2"/>
          <w:sz w:val="32"/>
          <w:szCs w:val="32"/>
          <w:lang w:val="en-US" w:eastAsia="zh-CN" w:bidi="ar-SA"/>
        </w:rPr>
        <w:t>李克</w:t>
      </w:r>
      <w:bookmarkStart w:id="4" w:name="_GoBack"/>
      <w:r>
        <w:rPr>
          <w:rFonts w:hint="eastAsia" w:ascii="仿宋" w:hAnsi="仿宋" w:eastAsia="仿宋" w:cs="仿宋"/>
          <w:b w:val="0"/>
          <w:bCs/>
          <w:snapToGrid w:val="0"/>
          <w:spacing w:val="-8"/>
          <w:kern w:val="2"/>
          <w:sz w:val="32"/>
          <w:szCs w:val="32"/>
          <w:lang w:val="en-US" w:eastAsia="zh-CN" w:bidi="ar-SA"/>
        </w:rPr>
        <w:t>强总理在第十四</w:t>
      </w:r>
      <w:bookmarkEnd w:id="4"/>
      <w:r>
        <w:rPr>
          <w:rFonts w:hint="eastAsia" w:ascii="仿宋" w:hAnsi="仿宋" w:eastAsia="仿宋" w:cs="仿宋"/>
          <w:b w:val="0"/>
          <w:bCs/>
          <w:snapToGrid w:val="0"/>
          <w:spacing w:val="-8"/>
          <w:kern w:val="2"/>
          <w:sz w:val="32"/>
          <w:szCs w:val="32"/>
          <w:lang w:val="en-US" w:eastAsia="zh-CN" w:bidi="ar-SA"/>
        </w:rPr>
        <w:t>届全国人民代表大会第一次会议上所作政府工作报告</w:t>
      </w:r>
    </w:p>
    <w:p>
      <w:pPr>
        <w:tabs>
          <w:tab w:val="right" w:leader="dot" w:pos="8296"/>
        </w:tabs>
        <w:spacing w:line="560" w:lineRule="exact"/>
        <w:rPr>
          <w:rFonts w:hint="default" w:ascii="仿宋" w:hAnsi="仿宋" w:eastAsia="仿宋" w:cs="仿宋"/>
          <w:bCs/>
          <w:snapToGrid w:val="0"/>
          <w:spacing w:val="-8"/>
          <w:sz w:val="36"/>
          <w:szCs w:val="36"/>
          <w:lang w:val="en-US" w:eastAsia="zh-CN"/>
        </w:rPr>
      </w:pPr>
      <w:r>
        <w:rPr>
          <w:rFonts w:hint="eastAsia" w:ascii="仿宋" w:hAnsi="仿宋" w:eastAsia="仿宋" w:cs="仿宋"/>
          <w:bCs/>
          <w:snapToGrid w:val="0"/>
          <w:spacing w:val="-8"/>
          <w:sz w:val="36"/>
          <w:szCs w:val="36"/>
        </w:rPr>
        <w:tab/>
      </w:r>
      <w:r>
        <w:rPr>
          <w:rFonts w:hint="default" w:ascii="仿宋" w:hAnsi="仿宋" w:eastAsia="仿宋" w:cs="仿宋"/>
          <w:bCs/>
          <w:snapToGrid w:val="0"/>
          <w:spacing w:val="-8"/>
          <w:sz w:val="36"/>
          <w:szCs w:val="36"/>
          <w:lang w:val="en-US"/>
        </w:rPr>
        <w:t>4</w:t>
      </w:r>
    </w:p>
    <w:p>
      <w:pPr>
        <w:tabs>
          <w:tab w:val="right" w:leader="dot" w:pos="8296"/>
        </w:tabs>
        <w:spacing w:line="560" w:lineRule="exact"/>
        <w:rPr>
          <w:rFonts w:hint="default" w:ascii="仿宋" w:hAnsi="仿宋" w:eastAsia="仿宋" w:cs="仿宋"/>
          <w:bCs/>
          <w:snapToGrid w:val="0"/>
          <w:spacing w:val="-8"/>
          <w:sz w:val="36"/>
          <w:szCs w:val="36"/>
          <w:lang w:val="en-US" w:eastAsia="zh-CN"/>
        </w:rPr>
      </w:pPr>
    </w:p>
    <w:p>
      <w:pPr>
        <w:ind w:left="0" w:leftChars="0" w:firstLine="642" w:firstLineChars="216"/>
        <w:rPr>
          <w:rStyle w:val="11"/>
          <w:rFonts w:hint="eastAsia" w:ascii="宋体" w:hAnsi="宋体" w:eastAsia="宋体" w:cs="宋体"/>
          <w:spacing w:val="8"/>
          <w:sz w:val="28"/>
          <w:szCs w:val="28"/>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right="0"/>
        <w:textAlignment w:val="auto"/>
        <w:rPr>
          <w:rFonts w:hint="eastAsia" w:ascii="仿宋" w:hAnsi="仿宋" w:eastAsia="仿宋" w:cs="仿宋"/>
          <w:sz w:val="30"/>
          <w:szCs w:val="30"/>
          <w:shd w:val="clear" w:color="auto" w:fill="FFFFFF"/>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right="0"/>
        <w:textAlignment w:val="auto"/>
        <w:rPr>
          <w:rFonts w:hint="eastAsia" w:ascii="仿宋" w:hAnsi="仿宋" w:eastAsia="仿宋" w:cs="仿宋"/>
          <w:sz w:val="30"/>
          <w:szCs w:val="30"/>
          <w:shd w:val="clear" w:color="auto"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bCs/>
          <w:i w:val="0"/>
          <w:iCs w:val="0"/>
          <w:caps w:val="0"/>
          <w:color w:val="800000"/>
          <w:spacing w:val="0"/>
          <w:sz w:val="24"/>
          <w:szCs w:val="24"/>
          <w:shd w:val="clear" w:fill="FFFFFF"/>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中国共产党第二十届中央委员会第二次全体会议公报</w:t>
      </w:r>
      <w:r>
        <w:rPr>
          <w:rFonts w:hint="eastAsia" w:ascii="宋体" w:hAnsi="宋体" w:eastAsia="宋体" w:cs="宋体"/>
          <w:i w:val="0"/>
          <w:iCs w:val="0"/>
          <w:caps w:val="0"/>
          <w:color w:val="auto"/>
          <w:spacing w:val="0"/>
          <w:sz w:val="24"/>
          <w:szCs w:val="24"/>
          <w:shd w:val="clear" w:fill="FFFFFF"/>
        </w:rPr>
        <w:br w:type="textWrapping"/>
      </w:r>
      <w:r>
        <w:rPr>
          <w:rFonts w:ascii="楷体" w:hAnsi="楷体" w:eastAsia="楷体" w:cs="楷体"/>
          <w:i w:val="0"/>
          <w:iCs w:val="0"/>
          <w:caps w:val="0"/>
          <w:color w:val="auto"/>
          <w:spacing w:val="0"/>
          <w:sz w:val="24"/>
          <w:szCs w:val="24"/>
          <w:shd w:val="clear" w:fill="FFFFFF"/>
        </w:rPr>
        <w:t>（2023年2月28日中国共产党第二十届中央委员会第二次全体会议通过）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auto"/>
          <w:spacing w:val="0"/>
          <w:sz w:val="24"/>
          <w:szCs w:val="24"/>
          <w:shd w:val="clear" w:fill="FFFFFF"/>
        </w:rPr>
        <w:t>中国共产党第二十届中央委员会第二次全体会议，于2023年2月26日</w:t>
      </w:r>
      <w:r>
        <w:rPr>
          <w:rFonts w:hint="eastAsia" w:ascii="宋体" w:hAnsi="宋体" w:eastAsia="宋体" w:cs="宋体"/>
          <w:i w:val="0"/>
          <w:iCs w:val="0"/>
          <w:caps w:val="0"/>
          <w:color w:val="333333"/>
          <w:spacing w:val="0"/>
          <w:sz w:val="24"/>
          <w:szCs w:val="24"/>
          <w:shd w:val="clear" w:fill="FFFFFF"/>
        </w:rPr>
        <w:t>至28日在北京举行。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出席这次全会的有中央委员203人，候补中央委员170人。中央纪律检查委员会副书记和有关部门负责同志列席会议。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全会由中央政治局主持。中央委员会总书记习近平作了重要讲话。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全会听取和讨论了习近平受中央政治局委托作的工作报告，审议通过了中央政治局在广泛征求党内外意见、反复酝酿协商的基础上提出的拟向十四届全国人大一次会议推荐的国家机构领导人员人选建议名单和拟向全国政协十四届一次会议推荐的全国政协领导人员人选建议名单，决定将这两个建议名单分别向十四届全国人大一次会议主席团和全国政协十四届一次会议主席团推荐。审议通过了在广泛征求意见的基础上提出的《党和国家机构改革方案》。习近平就《党和国家机构改革方案（草案）》向全会作了说明。全会同意把《党和国家机构改革方案》的部分内容按照法定程序提交十四届全国人大一次会议审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全会充分肯定党的二十届一中全会以来中央政治局的工作。一致认为，面对严峻复杂的国际环境和艰巨繁重的国内改革发展稳定任务，中央政治局全面贯彻党的二十大和二十届一中全会精神，高举中国特色社会主义伟大旗帜，全面贯彻习近平新时代中国特色社会主义思想，坚持稳中求进工作总基调，更好统筹国内国际两个大局，更好统筹疫情防控和经济社会发展，更好统筹发展和安全，兴起学习宣传贯彻党的二十大精神热潮，隆重悼念江泽民同志，做好全国人大、全国政协换届准备工作，动态优化调整新冠疫情防控措施，着力推动经济稳步回升、促进高质量发展，扎实推进社会主义民主法治建设和宣传思想文化工作，切实保障和改善民生，坚决维护国家安全和社会稳定，开启中国特色大国外交新征程，进一步深化全面从严治党，各项工作迈出新的步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全会强调，开好十四届全国人大一次会议和全国政协十四届一次会议，对进一步动员全党全国各族人民为全面建设社会主义现代化国家、全面推进中华民族伟大复兴而团结奋斗，具有重大意义。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全会认为，党的十八大以来，以习近平同志为核心的党中央把深化党和国家机构改革作为推进国家治理体系和治理能力现代化的一项重要任务，按照坚持党的全面领导、坚持以人民为中心、坚持优化协同高效、坚持全面依法治国的原则，深化党和国家机构改革，党和国家机构职能实现系统性、整体性重构，为党和国家事业取得历史性成就、发生历史性变革提供了有力保障，也为继续深化党和国家机构改革积累了宝贵经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全会指出，党的二十大对深化机构改革作出重要部署，对于全面建设社会主义现代化国家、全面推进中华民族伟大复兴意义重大而深远。必须以习近平新时代中国特色社会主义思想为指导，以加强党中央集中统一领导为统领，以推进国家治理体系和治理能力现代化为导向，坚持稳中求进工作总基调，适应统筹推进“五位一体”总体布局、协调推进“四个全面”战略布局的要求，适应构建新发展格局、推动高质量发展的需要，坚持问题导向，统筹党中央机构、全国人大机构、国务院机构、全国政协机构，统筹中央和地方，深化重点领域机构改革，推动党对社会主义现代化建设的领导在机构设置上更加科学、在职能配置上更加优化、在体制机制上更加完善、在运行管理上更加高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全会强调，各地区各部门要站在党和国家事业发展全局高度，充分认识党和国家机构改革的重要性和紧迫性，深刻领悟“两个确立”的决定性意义，增强“四个意识”、坚定“四个自信”、做到“两个维护”，自觉把思想和行动统一到党中央决策部署上来，坚决维护党中央决策部署的权威性和严肃性，坚定改革信心和决心，加强组织领导，不折不扣把机构改革任务落到实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全会认为，深入学习宣传贯彻党的二十大精神，是当前和今后一个时期全党的首要政治任务，要推动学习宣传贯彻往深里走、往实里走。要丰富载体、创新手段，以人民群众喜闻乐见的形式推动党的二十大精神进机关、进企事业单位、进城乡社区、进校园、进军营、进各类新经济组织和新社会组织、进网站，使党的二十大精神真正深入人心。领导干部要继续在全面学习、全面把握、全面落实上作表率，深刻认识新时代十年伟大变革的重大意义，熟练掌握习近平新时代中国特色社会主义思想的世界观、方法论和贯穿其中的立场观点方法，整体把握新时代新征程党和国家事业发展的目标任务、战略部署、重大举措，紧密结合本地区本部门具体实际制定好、实施好贯彻落实的具体方案、具体举措，切实把党的二十大精神落实到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全会强调，当前，世界百年未有之大变局加速演进，世界进入新的动荡变革期，我国发展进入战略机遇和风险挑战并存、不确定难预料因素增多的时期，必须准备经受风高浪急甚至惊涛骇浪的重大考验。我国改革发展稳定依然面临不少深层次矛盾，需求收缩、供给冲击、预期转弱三重压力仍然较大，经济恢复的基础尚不牢固，各种超预期因素随时可能发生。全党同志必须坚定信心，保持战略清醒，发扬斗争精神，做到“三个更好统筹”，努力实现今年各项目标任务。要完整、准确、全面贯彻新发展理念，加快构建新发展格局，着力推动高质量发展。要认真贯彻执行党中央关于新阶段疫情防控的决策部署，落实好“乙类乙管”各项措施。要努力扩大内需，切实提升产业链供应链韧性和安全水平，进一步优化市场化法治化国际化营商环境，有效防范化解重大经济金融风险，守住不发生系统性风险的底线。要着力加强保障和改善民生各项工作，落实落细就业优先政策，保障好困难群众的基本生活，扎牢社会保障网，补齐医疗卫生特别是城乡基层医疗卫生公共服务的短板，完善生育支持政策体系。全面推进乡村振兴，巩固拓展脱贫攻坚成果，防止发生规模性返贫。</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全会指出，要坚定不移深化改革开放，紧紧围绕全面建设社会主义现代化国家的目标，推出一批战略性、创造性、引领性改革举措，加强改革系统集成、协同高效，在重要领域和关键环节取得新突破。要坚持和完善社会主义基本经济制度，完善中国特色现代企业制度，加强和完善现代金融监管，推动高水平对外开放，统筹谋划好各领域的改革。注重完善改革落实机制，推动改革举措落地见效，不断增强社会主义现代化建设的动力和活力，把我国制度优势更好转化为国家治理效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全会强调，要深入贯彻落实党的二十大对党的建设作出的战略部署，时刻保持解决大党独有难题的清醒和坚定，健全全面从严治党体系，以党的政治建设为统领，扎实推进党的各方面建设，推动新时代党的建设新的伟大工程向纵深发展。在全党深入开展学习贯彻习近平新时代中国特色社会主义思想主题教育，要科学谋划、精心组织，强化理论学习和运用，取得实实在在的成效。要抓好换届后的领导班子思想政治建设，严格执行民主集中制，营造风清气正的政治生态，形成团结协作、敢于担当、善作善成的生动局面。要坚持以严的基调强化正风肃纪，持续深化纠治“四风”，大兴调查研究之风，大力弘扬求真务实、真抓实干的作风，真正做出经得起历史和人民检验的实绩。要一体推进不敢腐、不能腐、不想腐，坚决打赢反腐败斗争攻坚战持久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全会号召，全党全国各族人民更加紧密地团结在以习近平同志为核心的党中央周围，高举中国特色社会主义伟大旗帜，弘扬伟大建党精神，牢记“三个务必”，自信自强、守正创新，锐意进取、顽强拼搏，扎实推进中国式现代化建设，为实现党的二十大确定的目标任务而共同奋斗。</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0"/>
          <w:szCs w:val="30"/>
          <w:shd w:val="clear" w:color="auto" w:fill="FFFFFF"/>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0"/>
          <w:szCs w:val="30"/>
          <w:shd w:val="clear" w:color="auto" w:fill="FFFFFF"/>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0"/>
          <w:szCs w:val="30"/>
          <w:shd w:val="clear" w:color="auto" w:fill="FFFFFF"/>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0"/>
          <w:szCs w:val="30"/>
          <w:shd w:val="clear" w:color="auto" w:fill="FFFFFF"/>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0"/>
          <w:szCs w:val="30"/>
          <w:shd w:val="clear" w:color="auto" w:fill="FFFFFF"/>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0"/>
          <w:szCs w:val="30"/>
          <w:shd w:val="clear" w:color="auto" w:fill="FFFFFF"/>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0"/>
          <w:szCs w:val="30"/>
          <w:shd w:val="clear" w:color="auto" w:fill="FFFFFF"/>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0"/>
          <w:szCs w:val="30"/>
          <w:shd w:val="clear" w:color="auto" w:fill="FFFFFF"/>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0"/>
          <w:szCs w:val="30"/>
          <w:shd w:val="clear" w:color="auto"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jc w:val="center"/>
        <w:textAlignment w:val="auto"/>
        <w:rPr>
          <w:rFonts w:hint="eastAsia" w:ascii="宋体" w:hAnsi="宋体" w:eastAsia="宋体" w:cs="宋体"/>
          <w:b/>
          <w:bCs/>
          <w:i w:val="0"/>
          <w:iCs w:val="0"/>
          <w:caps w:val="0"/>
          <w:color w:val="222222"/>
          <w:spacing w:val="15"/>
          <w:sz w:val="24"/>
          <w:szCs w:val="24"/>
          <w:shd w:val="clear" w:fill="FFFFFF"/>
        </w:rPr>
      </w:pPr>
      <w:r>
        <w:rPr>
          <w:rFonts w:hint="eastAsia" w:ascii="宋体" w:hAnsi="宋体" w:eastAsia="宋体" w:cs="宋体"/>
          <w:b/>
          <w:bCs/>
          <w:i w:val="0"/>
          <w:iCs w:val="0"/>
          <w:caps w:val="0"/>
          <w:color w:val="222222"/>
          <w:spacing w:val="15"/>
          <w:sz w:val="24"/>
          <w:szCs w:val="24"/>
          <w:shd w:val="clear" w:fill="FFFFFF"/>
        </w:rPr>
        <w:t>政府工作报告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jc w:val="center"/>
        <w:textAlignment w:val="auto"/>
        <w:rPr>
          <w:rFonts w:hint="eastAsia" w:ascii="宋体" w:hAnsi="宋体" w:eastAsia="宋体" w:cs="宋体"/>
          <w:i w:val="0"/>
          <w:iCs w:val="0"/>
          <w:caps w:val="0"/>
          <w:color w:val="222222"/>
          <w:spacing w:val="15"/>
          <w:sz w:val="24"/>
          <w:szCs w:val="24"/>
          <w:shd w:val="clear" w:fill="FFFFFF"/>
        </w:rPr>
      </w:pPr>
      <w:r>
        <w:rPr>
          <w:rFonts w:hint="default" w:ascii="宋体" w:hAnsi="宋体" w:eastAsia="宋体" w:cs="宋体"/>
          <w:i w:val="0"/>
          <w:iCs w:val="0"/>
          <w:caps w:val="0"/>
          <w:color w:val="222222"/>
          <w:spacing w:val="15"/>
          <w:sz w:val="24"/>
          <w:szCs w:val="24"/>
          <w:shd w:val="clear" w:fill="FFFFFF"/>
        </w:rPr>
        <w:t>——2023年3月5日在第十四届全国人民代表大会第一次会议上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jc w:val="center"/>
        <w:textAlignment w:val="auto"/>
        <w:rPr>
          <w:rFonts w:hint="eastAsia" w:ascii="宋体" w:hAnsi="宋体" w:eastAsia="宋体" w:cs="宋体"/>
          <w:i w:val="0"/>
          <w:iCs w:val="0"/>
          <w:caps w:val="0"/>
          <w:color w:val="222222"/>
          <w:spacing w:val="15"/>
          <w:sz w:val="24"/>
          <w:szCs w:val="24"/>
          <w:shd w:val="clear" w:fill="FFFFFF"/>
        </w:rPr>
      </w:pPr>
      <w:r>
        <w:rPr>
          <w:rFonts w:hint="default" w:ascii="宋体" w:hAnsi="宋体" w:eastAsia="宋体" w:cs="宋体"/>
          <w:i w:val="0"/>
          <w:iCs w:val="0"/>
          <w:caps w:val="0"/>
          <w:color w:val="222222"/>
          <w:spacing w:val="15"/>
          <w:sz w:val="24"/>
          <w:szCs w:val="24"/>
          <w:shd w:val="clear" w:fill="FFFFFF"/>
        </w:rPr>
        <w:t>国务院总理 李克强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textAlignment w:val="auto"/>
        <w:rPr>
          <w:rFonts w:hint="eastAsia" w:ascii="宋体" w:hAnsi="宋体" w:eastAsia="宋体" w:cs="宋体"/>
          <w:i w:val="0"/>
          <w:iCs w:val="0"/>
          <w:caps w:val="0"/>
          <w:color w:val="222222"/>
          <w:spacing w:val="15"/>
          <w:sz w:val="24"/>
          <w:szCs w:val="24"/>
          <w:shd w:val="clear" w:fill="FFFFFF"/>
        </w:rPr>
      </w:pPr>
      <w:r>
        <w:rPr>
          <w:rFonts w:hint="eastAsia" w:ascii="宋体" w:hAnsi="宋体" w:eastAsia="宋体" w:cs="宋体"/>
          <w:i w:val="0"/>
          <w:iCs w:val="0"/>
          <w:caps w:val="0"/>
          <w:color w:val="222222"/>
          <w:spacing w:val="15"/>
          <w:sz w:val="24"/>
          <w:szCs w:val="24"/>
          <w:shd w:val="clear" w:fill="FFFFFF"/>
        </w:rPr>
        <w:t>各位代表：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本届政府任期即将结束。现在，我代表</w:t>
      </w:r>
      <w:r>
        <w:rPr>
          <w:rFonts w:hint="eastAsia" w:ascii="宋体" w:hAnsi="宋体" w:eastAsia="宋体" w:cs="宋体"/>
          <w:i w:val="0"/>
          <w:iCs w:val="0"/>
          <w:caps w:val="0"/>
          <w:color w:val="222222"/>
          <w:spacing w:val="15"/>
          <w:sz w:val="24"/>
          <w:szCs w:val="24"/>
          <w:shd w:val="clear" w:fill="FFFFFF"/>
        </w:rPr>
        <w:t>国务院，向大会报告工作，请予审议，并请全国政协委员提出意见。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20" w:firstLineChars="155"/>
        <w:textAlignment w:val="auto"/>
        <w:rPr>
          <w:rFonts w:hint="eastAsia" w:ascii="宋体" w:hAnsi="宋体" w:eastAsia="宋体" w:cs="宋体"/>
          <w:color w:val="222222"/>
          <w:sz w:val="24"/>
          <w:szCs w:val="24"/>
        </w:rPr>
      </w:pPr>
      <w:r>
        <w:rPr>
          <w:rStyle w:val="11"/>
          <w:rFonts w:hint="eastAsia" w:ascii="宋体" w:hAnsi="宋体" w:eastAsia="宋体" w:cs="宋体"/>
          <w:i w:val="0"/>
          <w:iCs w:val="0"/>
          <w:caps w:val="0"/>
          <w:color w:val="222222"/>
          <w:spacing w:val="15"/>
          <w:sz w:val="24"/>
          <w:szCs w:val="24"/>
          <w:shd w:val="clear" w:fill="FFFFFF"/>
        </w:rPr>
        <w:t>一、过去一年和五年工作回顾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2022年是党和国家历史上极为重要的一年。党的二十大胜利召开，描绘了全面建设社会主义现代化国家的宏伟蓝图。面对风高浪急的国际环境和艰巨繁重的国内改革发展稳定任务，以习近平同志为核心的党中央团结带领全国各族人民迎难而上，全面落实疫情要防住、经济要稳住、发展要安全的要求，加大宏观调控力度，实现了经济平稳运行、发展质量稳步提升、社会大局保持稳定，我国发展取得来之极为不易的新成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过去一年，我国经济发展遇到疫情等国内外多重超预期因素冲击。在党中央坚强领导下，我们高效统筹疫情防控和经济社会发展，根据病毒变化和防疫形势，优化调整疫情防控措施。面对经济新的下行压力，果断应对、及时调控，动用近年储备的政策工具，靠前实施既定政策举措，坚定不移推进供给侧结构性改革，出台实施稳经济一揽子政策和接续措施，部署稳住经济大盘工作，加强对地方落实政策的督导服务，支持各地挖掘政策潜力，支持经济大省勇挑大梁，突出稳增长稳就业稳物价，推动经济企稳回升。全年国内生产总值增长3%，城镇新增就业1206万人，年末城镇调查失业率降到5.5%，居民消费价格上涨2%。货物进出口总额增长7.7%。财政赤字率控制在2.8%，中央财政收支符合预算、支出略有结余。国际收支保持平衡，人民币汇率在全球主要货币中表现相对稳健。粮食产量1.37万亿斤，增产74亿斤。生态环境质量持续改善。在攻坚克难中稳住了经济大盘，在复杂多变的环境中基本完成全年发展主要目标任务，我国经济展现出坚强韧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针对企业生产经营困难加剧，加大纾困支持力度。受疫情等因素冲击，不少企业和个体工商户遇到特殊困难。全年增值税留抵退税超过2.4万亿元，新增减税降费超过1万亿元，缓税缓费7500多亿元。为有力支持减税降费政策落实，中央对地方转移支付大幅增加。引导金融机构增加信贷投放，降低融资成本，新发放企业贷款平均利率降至有统计以来最低水平，对受疫情影响严重的中小微企业、个体工商户和餐饮、旅游、货运等实施阶段性贷款延期还本付息，对普惠小微贷款阶段性减息。用改革办法激发市场活力。量大面广的中小微企业和个体工商户普遍受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针对有效需求不足的突出矛盾，多措并举扩投资促消费稳外贸。去年终端消费直接受到冲击，投资也受到影响。提前实施部分“十四五”规划重大工程项目，加快地方政府专项债券发行使用，依法盘活用好专项债务结存限额，分两期投放政策性开发性金融工具7400亿元，为重大项目建设补充资本金。运用专项再贷款、财政贴息等政策，支持重点领域设备更新改造。采取联合办公、地方承诺等办法，提高项目审批效率。全年基础设施、制造业投资分别增长9.4%、9.1%，带动固定资产投资增长5.1%，一定程度弥补了消费收缩缺口。发展消费新业态新模式，采取减免车辆购置税等措施促进汽车消费，新能源汽车销量增长93.4%，开展绿色智能家电、绿色建材下乡，社会消费品零售总额保持基本稳定。出台金融支持措施，支持刚性和改善性住房需求，扎实推进保交楼稳民生工作。帮助外贸企业解决原材料、用工、物流等难题，提升港口集疏运效率，及时回应和解决外资企业关切，货物进出口好于预期，实际使用外资稳定增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针对就业压力凸显，强化稳岗扩就业政策支持。去年城镇调查失业率一度明显攀升。财税、金融、投资等政策更加注重稳就业。对困难行业企业社保费实施缓缴，大幅提高失业保险基金稳岗返还比例，增加稳岗扩岗补助。落实担保贷款、租金减免等创业支持政策。突出做好高校毕业生就业工作，开展就业困难人员专项帮扶。在重点工程建设中推广以工代赈。脱贫人口务工规模超过3200万人、实现稳中有增。就业形势总体保持稳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针对全球通胀高企带来的影响，以粮食和能源为重点做好保供稳价。去年全球通胀达到40多年来新高，国内价格稳定面临较大压力。有效应对洪涝、干旱等严重自然灾害，不误农时抢抓粮食播种和收获，督促和协调农机通行，保障农事活动有序开展，分三批向种粮农民发放农资补贴，保障粮食丰收和重要农产品稳定供给。发挥煤炭主体能源作用，增加煤炭先进产能，加大对发电供热企业支持力度，保障能源正常供应。在全球高通胀的背景下，我国物价保持较低水平，尤为难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针对部分群众生活困难增多，强化基本民生保障。阶段性扩大低保等社会保障政策覆盖面，将更多困难群体纳入保障范围。延续实施失业保险保障扩围政策，共向1000多万失业人员发放失业保险待遇。向更多低收入群众发放价格补贴，约6700万人受益。免除经济困难高校毕业生2022年国家助学贷款利息并允许延期还本。做好因疫因灾遇困群众临时救助工作，切实兜住民生底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与此同时，我们全面落实中央经济工作会议部署，按照十三届全国人大五次会议批准的政府工作报告安排，统筹推进经济社会各领域工作。经过艰苦努力，当前消费需求、市场流通、工业生产、企业预期等明显向好，经济增长正在企稳向上，我国经济有巨大潜力和发展动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各位代表！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过去五年极不寻常、极不平凡。在以习近平同志为核心的党中央坚强领导下，我们经受了世界变局加快演变、新冠疫情冲击、国内经济下行等多重考验，如期打赢脱贫攻坚战，如期全面建成小康社会，实现第一个百年奋斗目标，开启向第二个百年奋斗目标进军新征程。各地区各部门坚持以习近平新时代中国特色社会主义思想为指导，深刻领悟“两个确立”的决定性意义，增强“四个意识”、坚定“四个自信”、做到“两个维护”，全面贯彻党的十九大和十九届历次全会精神，深入贯彻党的二十大精神，坚持稳中求进工作总基调，完整、准确、全面贯彻新发展理念，构建新发展格局，推动高质量发展，统筹发展和安全，我国经济社会发展取得举世瞩目的重大成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经济发展再上新台阶。国内生产总值增加到121万亿元，五年年均增长5.2%，十年增加近70万亿元、年均增长6.2%，在高基数基础上实现了中高速增长、迈向高质量发展。财政收入增加到20.4万亿元。粮食产量连年稳定在1.3万亿斤以上。工业增加值突破40万亿元。城镇新增就业年均1270多万人。外汇储备稳定在3万亿美元以上。我国经济实力明显提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——脱贫攻坚任务胜利完成。经过八年持续努力，近1亿农村贫困人口实现脱贫，全国832个贫困县全部摘帽，960多万贫困人口实现易地搬迁，历史性地解决了绝对贫困问题。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科技创新成果丰硕。构建新型举国体制，组建国家实验室，分批推进全国重点实验室重组。一些关键核心技术攻关取得新突破，载人航天、探月探火、深海深地探测、超级计算机、卫星导航、量子信息、核电技术、大飞机制造、人工智能、生物医药等领域创新成果不断涌现。全社会研发经费投入强度从2.1%提高到2.5%以上，科技进步贡献率提高到60%以上，创新支撑发展能力不断增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经济结构进一步优化。高技术制造业、装备制造业增加值年均分别增长10.6%、7.9%，数字经济不断壮大，新产业新业态新模式增加值占国内生产总值的比重达到17%以上。区域协调发展战略、区域重大战略深入实施。常住人口城镇化率从60.2%提高到65.2%，乡村振兴战略全面实施。经济发展新动能加快成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基础设施更加完善。一批防汛抗旱、引水调水等重大水利工程开工建设。高速铁路运营里程从2.5万公里增加到4.2万公里，高速公路里程从13.6万公里增加到17.7万公里。新建改建农村公路125万公里。新增机场容量4亿人次。发电装机容量增长40%以上。所有地级市实现千兆光网覆盖，所有行政村实现通宽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改革开放持续深化。全面深化改革开放推动构建新发展格局，供给侧结构性改革深入实施，简政放权、放管结合、优化服务改革不断深化，营商环境明显改善。共建“一带一路”扎实推进。推动区域全面经济伙伴关系协定（RCEP）生效实施，建成全球最大自由贸易区。货物进出口总额年均增长8.6%，突破40万亿元并连续多年居世界首位，吸引外资和对外投资居世界前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——生态环境明显改善。单位国内生产总值能耗下降8.1%、二氧化碳排放下降14.1%。地级及以上城市细颗粒物（PM</w:t>
      </w:r>
      <w:r>
        <w:rPr>
          <w:rFonts w:hint="eastAsia" w:ascii="宋体" w:hAnsi="宋体" w:eastAsia="宋体" w:cs="宋体"/>
          <w:i w:val="0"/>
          <w:iCs w:val="0"/>
          <w:caps w:val="0"/>
          <w:color w:val="222222"/>
          <w:spacing w:val="0"/>
          <w:sz w:val="24"/>
          <w:szCs w:val="24"/>
          <w:shd w:val="clear" w:fill="FFFFFF"/>
          <w:vertAlign w:val="subscript"/>
        </w:rPr>
        <w:t>2.5</w:t>
      </w:r>
      <w:r>
        <w:rPr>
          <w:rFonts w:hint="eastAsia" w:ascii="宋体" w:hAnsi="宋体" w:eastAsia="宋体" w:cs="宋体"/>
          <w:i w:val="0"/>
          <w:iCs w:val="0"/>
          <w:caps w:val="0"/>
          <w:color w:val="222222"/>
          <w:spacing w:val="15"/>
          <w:sz w:val="24"/>
          <w:szCs w:val="24"/>
          <w:shd w:val="clear" w:fill="FFFFFF"/>
        </w:rPr>
        <w:t>）平均浓度下降27.5%，重污染天数下降超过五成，全国地表水优良水体比例由67.9%上升到87.9%。设立首批5个国家公园，建立各级各类自然保护地9000多处。美丽中国建设迈出重大步伐。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人民生活水平不断提高。居民收入增长与经济增长基本同步，全国居民人均可支配收入年均增长5.1%。居民消费价格年均上涨2.1%。新增劳动力平均受教育年限从13.5年提高到14年。基本养老保险参保人数增加1.4亿、覆盖10.5亿人，基本医保水平稳步提高。多年累计改造棚户区住房4200多万套，上亿人出棚进楼、实现安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经过多年精心筹办，成功举办了简约、安全、精彩的北京冬奥会、冬残奥会，为促进群众性冰雪运动、促进奥林匹克运动发展、促进世界人民团结友谊作出重要贡献。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新冠疫情发生三年多来，以习近平同志为核心的党中央始终坚持人民至上、生命至上，强化医疗资源和物资保障，全力救治新冠患者，有效保护人民群众生命安全和身体健康，因时因势优化调整防控政策措施，全国人民坚忍不拔，取得重大决定性胜利。在极不平凡的抗疫历程中，各地区各部门各单位做了大量工作，各行各业共克时艰，广大医务人员不畏艰辛，特别是亿万人民克服多重困难，付出和奉献，都十分不易，大家共同抵御疫情重大挑战，面对尚未结束的疫情，仍在不断巩固统筹疫情防控和经济社会发展成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各位代表！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五年来，我们深入贯彻以习近平同志为核心的党中央决策部署，主要做了以下工作。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一）创新宏观调控，保持经济运行在合理区间。面对贸易保护主义抬头、疫情冲击等接踵而来的严峻挑战，创新宏观调控方式，不过度依赖投资，统筹运用财政货币等政策，增强针对性有效性，直面市场变化，重点支持市场主体纾困发展，进而稳就业保民生。把年度主要预期目标作为一个有机整体来把握，加强区间调控、定向调控、相机调控、精准调控，既果断加大力度，又不搞“大水漫灌”、透支未来，持续做好“六稳”、“六保”工作，强化保居民就业、保基本民生、保市场主体、保粮食能源安全、保产业链供应链稳定、保基层运转，以改革开放办法推动经济爬坡过坎、持续前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坚持实施积极的财政政策。合理把握赤字规模，五年总体赤字率控制在3%以内，政府负债率控制在50%左右。不断优化支出结构，教育科技、生态环保、基本民生等重点领域得到有力保障。实施大规模减税降费政策，制度性安排与阶段性措施相结合，疫情发生后减税降费力度进一步加大，成为应对冲击的关键举措。彻底完成营改增任务、取消营业税，将增值税收入占比最高、涉及行业广泛的税率从17%降至13%，阶段性将小规模纳税人增值税起征点从月销售额3万元提高到15万元、小微企业所得税实际最低税负率从10%降至2.5%。减税降费公平普惠、高效直达，五年累计减税5.4万亿元、降费2.8万亿元，既帮助企业渡过难关、留得青山，也放水养鱼、涵养税源，年均新增涉税企业和个体工商户等超过1100万户，各年度中央财政收入预算都顺利完成，考虑留抵退税因素，全国财政收入十年接近翻一番。推动财力下沉，中央一般公共预算支出中对地方转移支付占比提高到70%左右，建立并常态化实施中央财政资金直达机制。各级政府坚持过紧日子，严控一般性支出，中央部门带头压减支出，盘活存量资金和闲置资产，腾出的资金千方百计惠企裕民，全国财政支出70%以上用于民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坚持实施稳健的货币政策。根据形势变化灵活把握政策力度，保持流动性合理充裕，用好降准、再贷款等政策工具，加大对实体经济的有效支持，缓解中小微企业融资难融资贵等问题。制造业贷款余额从16.3万亿元增加到27.4万亿元。普惠小微贷款余额从8.2万亿元增加到23.8万亿元、年均增长24%，贷款平均利率较五年前下降1.5个百分点。加大清理拖欠中小企业账款力度。人民币汇率在合理均衡水平上弹性增强、保持基本稳定。完全化解了历史上承担的国有商业银行和农村信用社等14486亿元金融改革成本。运用市场化法治化方式，精准处置一批大型企业集团风险，平稳化解高风险中小金融机构风险，大型金融机构健康发展，金融体系稳健运行，守住了不发生系统性风险的底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强化就业优先政策导向。把稳就业作为经济运行在合理区间的关键指标。着力促进市场化社会化就业，加大对企业稳岗扩岗支持力度。将养老保险单位缴费比例从20%降至16%，同时充实全国社保基金，储备规模从1.8万亿元增加到2.5万亿元以上。实施失业保险基金稳岗返还、留工培训补助等政策。持续推进大众创业万众创新，连续举办8届全国双创活动周、超过5.2亿人次参与，鼓励以创业带动就业，加强劳动者权益保护，新就业形态和灵活就业成为就业增收的重要渠道。做好高校毕业生、退役军人、农民工等群体就业工作。使用失业保险基金等资金支持技能培训。实施高职扩招和职业技能提升三年行动，累计扩招413万人、培训8300多万人次。就业是民生之基、财富之源。14亿多人口大国保持就业稳定，难能可贵，蕴含着巨大创造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保持物价总体平稳。在应对冲击中没有持续大幅增加赤字规模，也没有超发货币，为物价稳定创造了宏观条件。下大气力抓农业生产，强化产销衔接和储备调节，确保粮食和生猪、蔬菜等稳定供应，及时解决煤炭电力供应紧张问题，满足民生和生产用能需求，保障交通物流畅通。加强市场监管，维护正常价格秩序。十年来我国居民消费价格涨幅稳定在2%左右的较低水平，成如容易却艰辛，既维护了市场经济秩序、为宏观政策实施提供了空间，又有利于更好保障基本民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二）如期打赢脱贫攻坚战，巩固拓展脱贫攻坚成果。全面建成小康社会最艰巨最繁重的任务在农村特别是在贫困地区。坚持精准扶贫，聚焦“三区三州”等深度贫困地区，强化政策倾斜支持，优先保障脱贫攻坚资金投入，对脱贫难度大的县和村挂牌督战。深入实施产业、就业、生态、教育、健康、社会保障等帮扶，加强易地搬迁后续扶持，重点解决“两不愁三保障”问题，脱贫群众不愁吃、不愁穿，义务教育、基本医疗、住房安全有保障，饮水安全也有了保障。贫困地区农村居民收入明显增加，生产生活条件显著改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推动巩固拓展脱贫攻坚成果同乡村振兴有效衔接。保持过渡期内主要帮扶政策总体稳定，严格落实“四个不摘”要求，建立健全防止返贫动态监测和帮扶机制，有力应对疫情、灾情等不利影响，确保不发生规模性返贫。确定并集中支持160个国家乡村振兴重点帮扶县，加大对易地搬迁集中安置区等重点区域支持力度，坚持并完善东西部协作、对口支援、定点帮扶等机制，选派用好医疗、教育“组团式”帮扶干部人才和科技特派员，推动脱贫地区加快发展和群众稳定增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三）聚焦重点领域和关键环节深化改革，更大激发市场活力和社会创造力。坚持社会主义市场经济改革方向，处理好政府和市场的关系，使市场在资源配置中起决定性作用，更好发挥政府作用，推动有效市场和有为政府更好结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持续推进政府职能转变。完成国务院及地方政府机构改革。加快建设全国统一大市场，建设高标准市场体系，营造市场化法治化国际化营商环境。大道至简，政简易行。持之以恒推进触动政府自身利益的改革。进一步简政放权，放宽市场准入，全面实施市场准入负面清单制度，清单管理措施比制度建立之初压减64%，将行政许可事项全部纳入清单管理。多年来取消和下放行政许可事项1000多项，中央政府层面核准投资项目压减90%以上，工业产品生产许可证从60类减少到10类，工程建设项目全流程审批时间压缩到不超过120个工作日。改革商事制度，推行“证照分离”改革，企业开办时间从一个月以上压缩到目前的平均4个工作日以内，实行中小微企业简易注销制度。坚持放管结合，加强事中事后监管，严格落实监管责任，防止监管缺位、重放轻管，强化食品药品等重点领域质量和安全监管，推行“双随机、一公开”等方式加强公正监管，规范行使行政裁量权。加强反垄断和反不正当竞争，全面落实公平竞争审查制度，改革反垄断执法体制。依法规范和引导资本健康发展，依法坚决管控资本无序扩张。不断优化服务，推进政务服务集成办理，压减各类证明事项，加快数字政府建设，90%以上的政务服务实现网上可办，户籍证明、社保转接等200多项群众经常办理事项实现跨省通办。取消所有省界高速公路收费站。制定实施优化营商环境、市场主体登记管理、促进个体工商户发展、保障中小企业款项支付等条例。改革给人们经商办企业更多便利和空间，去年底企业数量超过5200万户、个体工商户超过1.1亿户，市场主体总量超过1.6亿户、是十年前的3倍，发展内生动力明显增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促进多种所有制经济共同发展。坚持和完善社会主义基本经济制度，坚持“两个毫不动摇”。完成国企改革三年行动任务，健全现代企业制度，推动国企聚焦主责主业优化重组、提质增效。促进民营企业健康发展，破除各种隐性壁垒，一视同仁给予政策支持，提振民间投资信心。完善产权保护制度，保护企业家合法权益，弘扬企业家精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推进财税金融体制改革。深化预算管理体制改革，加大预算公开力度，推进中央与地方财政事权和支出责任划分改革，完善地方政府债务管理体系，构建综合与分类相结合的个人所得税制，进一步深化税收征管改革。推动金融监管体制改革，统筹推进中小银行补充资本和改革化险，推进股票发行注册制改革，完善资本市场基础制度，加强金融稳定法治建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四）深入实施创新驱动发展战略，推动产业结构优化升级。深化供给侧结构性改革，完善国家和地方创新体系，推进科技自立自强，紧紧依靠创新提升实体经济发展水平，不断培育壮大发展新动能，有效应对外部打压遏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增强科技创新引领作用。强化国家战略科技力量，实施一批科技创新重大项目，加强关键核心技术攻关。发挥好高校、科研院所作用，支持新型研发机构发展。推进国际和区域科技创新中心建设，布局建设综合性国家科学中心。支持基础研究和应用基础研究，全国基础研究经费五年增长1倍。改革科研项目和经费管理制度，赋予科研单位和科研人员更大自主权，努力将广大科技人员从繁杂的行政事务中解脱出来。加强知识产权保护，激发创新动力。促进国际科技交流合作。通过市场化机制激励企业创新，不断提高企业研发费用加计扣除比例，将制造业企业、科技型中小企业分别从50%、75%提高至100%，并阶段性扩大到所有适用行业，对企业投入基础研究、购置设备给予政策支持，各类支持创新的税收优惠政策年度规模已超过万亿元。创设支持创新的金融政策工具，引导创业投资等发展。企业研发投入保持两位数增长，一大批创新企业脱颖而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推动产业向中高端迈进。把制造业作为发展实体经济的重点，促进工业经济平稳运行，保持制造业比重基本稳定。严格执行环保、质量、安全等法规标准，淘汰落后产能。开展重点产业强链补链行动。启动一批产业基础再造工程。鼓励企业加快设备更新和技术改造，将固定资产加速折旧优惠政策扩大至全部制造业。推动高端装备、生物医药、光电子信息、新能源汽车、光伏、风电等新兴产业加快发展。促进数字经济和实体经济深度融合。持续推进网络提速降费，发展“互联网+”。移动互联网用户数增加到14.5亿户。支持工业互联网发展，有力促进了制造业数字化智能化。专精特新中小企业达7万多家。促进平台经济健康持续发展，发挥其带动就业创业、拓展消费市场、创新生产模式等作用。发展研发设计、现代物流、检验检测认证等生产性服务业。加强全面质量管理和质量基础设施建设。中国制造的品质和竞争力不断提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（五）扩大国内有效需求，推进区域协调发展和新型城镇化。围绕构建新发展格局，立足超大规模市场优势，坚持实施扩大内需战略，培育更多经济增长动力源。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着力扩大消费和有效投资。疫情发生前，消费已经成为我国经济增长的主要拉动力。面对需求不足甚至出现收缩，推动消费尽快恢复。多渠道促进居民增收，提高中低收入群体收入。支持汽车、家电等大宗消费，汽车保有量突破3亿辆、增长46.7%。推动线上线下消费深度融合，实物商品网上零售额占社会消费品零售总额的比重从15.8%提高到27.2%。发展城市社区便民商业，完善农村快递物流配送体系。帮扶旅游业发展。围绕补短板、调结构、增后劲扩大有效投资。创新投融资体制机制，预算内投资引导和撬动社会投资成倍增加，增加地方政府专项债券额度，重点支持交通、水利、能源、信息等基础设施和民生工程建设，鼓励社会资本参与建设运营，调动民间投资积极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增强区域发展平衡性协调性。统筹推进西部大开发、东北全面振兴、中部地区崛起、东部率先发展，中西部地区经济增速总体高于东部地区。加大对革命老区、民族地区、边疆地区的支持力度，中央财政对相关地区转移支付资金比五年前增长66.8%。推进京津冀协同发展、长江经济带发展、长三角一体化发展，推动黄河流域生态保护和高质量发展。高标准高质量建设雄安新区。发展海洋经济。支持经济困难地区发展，促进资源型地区转型发展，鼓励有条件地区更大发挥带动作用，推动形成更多新的增长极增长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持续推进以人为核心的新型城镇化。我国仍处于城镇化进程中，每年有上千万农村人口转移到城镇。完善城市特别是县城功能，增强综合承载能力。分类放宽或取消城镇落户限制，十年1.4亿农村人口在城镇落户。有序发展城市群和都市圈，促进大中小城市协调发展。推动成渝地区双城经济圈建设。坚持房子是用来住的、不是用来炒的定位，建立实施房地产长效机制，扩大保障性住房供给，推进长租房市场建设，稳地价、稳房价、稳预期，因城施策促进房地产市场健康发展。加强城市基础设施建设，轨道交通运营里程从4500多公里增加到近1万公里，排水管道从63万公里增加到89万公里。改造城镇老旧小区16.7万个，惠及2900多万家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（六）保障国家粮食安全，大力实施乡村振兴战略。完善强农惠农政策，持续抓紧抓好农业生产，加快推进农业农村现代化。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提升农业综合生产能力。稳定和扩大粮食播种面积，扩种大豆油料，优化生产结构布局，提高单产和品质。完善粮食生产支持政策，稳定种粮农民补贴，合理确定稻谷、小麦最低收购价，加大对产粮大县奖励力度，健全政策性农业保险制度。加强耕地保护，实施黑土地保护工程，完善水利设施，新建高标准农田4.56亿亩。推进国家粮食安全产业带建设。加快种业、农机等科技创新和推广应用，农作物耕种收综合机械化率从67%提高到73%。全面落实粮食安全党政同责，强化粮食和重要农产品稳产保供，始终不懈地把14亿多中国人的饭碗牢牢端在自己手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扎实推进农村改革发展。巩固和完善农村基本经营制度，完成承包地确权登记颁证和农村集体产权制度改革阶段性任务，稳步推进多种形式适度规模经营，抓好家庭农场和农民合作社发展，加快发展农业社会化服务。启动乡村建设行动，持续整治提升农村人居环境，加强水电路气信邮等基础设施建设，实现符合条件的乡镇和建制村通硬化路、通客车，农村自来水普及率从80%提高到87%，多年累计改造农村危房2400多万户。深化供销合作社、集体林权、农垦等改革。立足特色资源发展乡村产业，促进农民就业创业增收。为保障农民工及时拿到应得报酬，持续强化农民工工资拖欠治理，出台实施保障农民工工资支付条例，严厉打击恶意拖欠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（七）坚定扩大对外开放，深化互利共赢的国际经贸合作。面对外部环境变化，实行更加积极主动的开放战略，以高水平开放更有力促改革促发展。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推动进出口稳中提质。加大出口退税、信保、信贷等政策支持力度，企业出口退税办理时间压缩至6个工作日以内。优化外汇服务。发展外贸新业态，新设152个跨境电商综试区，支持建设一批海外仓。发挥进博会、广交会、服贸会、消博会等重大展会作用。推进通关便利化，进口、出口通关时间分别压减67%和92%，进出口环节合规成本明显下降。关税总水平从9.8%降至7.4%。全面深化服务贸易创新发展试点，推出跨境服务贸易负面清单。进出口稳定增长有力支撑了经济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积极有效利用外资。出台外商投资法实施条例，不断优化外商投资环境。持续放宽外资市场准入，全国和自由贸易试验区负面清单条数分别压减51%、72%，制造业领域基本全面放开，金融等服务业开放水平不断提升。已设21个自由贸易试验区，海南自由贸易港建设稳步推进。各地创新方式加强外资促进服务，加大招商引资和项目对接力度。一批外资大项目落地，我国持续成为外商投资兴业的热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推动高质量共建“一带一路”。坚持共商共建共享，遵循市场原则和国际通行规则，实施一批互联互通和产能合作项目，对沿线国家货物进出口额年均增长13.4%，各领域交流合作不断深化。推进西部陆海新通道建设。引导对外投资健康有序发展，加强境外风险防控。新签和升级6个自贸协定，与自贸伙伴货物进出口额占比从26%提升至35%左右。坚定维护多边贸易体制，反对贸易保护主义，稳妥应对经贸摩擦，促进贸易和投资自由化便利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（八）加强生态环境保护，促进绿色低碳发展。坚持绿水青山就是金山银山的理念，健全生态文明制度体系，处理好发展和保护的关系，不断提升可持续发展能力。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加强污染治理和生态建设。坚持精准治污、科学治污、依法治污，深入推进污染防治攻坚。注重多污染物协同治理和区域联防联控，地级及以上城市空气质量优良天数比例达86.5%、上升4个百分点。基本消除地级及以上城市黑臭水体，推进重要河湖、近岸海域污染防治。加大土壤污染风险防控和修复力度，强化固体废物和新污染物治理。全面划定耕地和永久基本农田保护红线、生态保护红线和城镇开发边界。坚持山水林田湖草沙一体化保护和系统治理，实施一批重大生态工程，全面推行河湖长制、林长制。推动共抓长江大保护，深入实施长江流域重点水域十年禁渔。加强生物多样性保护。完善生态保护补偿制度。森林覆盖率达到24%，草原综合植被盖度和湿地保护率均达50%以上，水土流失、荒漠化、沙化土地面积分别净减少10.6万、3.8万、3.3万平方公里。人民群众越来越多享受到蓝天白云、绿水青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稳步推进节能降碳。统筹能源安全稳定供应和绿色低碳发展，科学有序推进碳达峰碳中和。优化能源结构，实现超低排放的煤电机组超过10.5亿千瓦，可再生能源装机规模由6.5亿千瓦增至12亿千瓦以上，清洁能源消费占比由20.8%上升到25%以上。全面加强资源节约工作，发展绿色产业和循环经济，促进节能环保技术和产品研发应用。提升生态系统碳汇能力。加强绿色发展金融支持。完善能耗考核方式。积极参与应对气候变化国际合作，为推动全球气候治理作出了中国贡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（九）切实保障和改善民生，加快社会事业发展。贯彻以人民为中心的发展思想，持续增加民生投入，着力保基本、兜底线、促公平，提升公共服务水平，推进基本公共服务均等化，在发展中不断增进民生福祉。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促进教育公平和质量提升。百年大计，教育为本。财政性教育经费占国内生产总值比例每年都保持在4%以上，学生人均经费投入大幅增加。持续加强农村义务教育薄弱环节建设，基本消除城镇大班额，推动解决进城务工人员子女入学问题，义务教育巩固率由93.8%提高到95.5%。坚持义务教育由国家统一实施，引导规范民办教育发展。减轻义务教育阶段学生负担。提升青少年健康水平。持续实施营养改善计划，每年惠及3700多万学生。保障教师特别是乡村教师工资待遇。多渠道增加幼儿园供给。高中阶段教育毛入学率提高到90%以上。职业教育适应性增强，职业院校办学条件持续改善。积极稳妥推进高考综合改革，高等教育毛入学率从45.7%提高到59.6%，高校招生持续加大对中西部地区和农村地区倾斜力度。大幅提高经济困难高校学生国家助学贷款额度。深入实施“强基计划”和基础学科拔尖人才培养计划，建设288个基础学科拔尖学生培养基地，接续推进世界一流大学和一流学科建设，不断夯实发展的人才基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提升医疗卫生服务能力。深入推进和努力普及健康中国行动，深化医药卫生体制改革，把基本医疗卫生制度作为公共产品向全民提供，进一步缓解群众看病难、看病贵问题。持续提高基本医保和大病保险水平，城乡居民医保人均财政补助标准从450元提高到610元。将更多群众急需药品纳入医保报销范围。住院和门诊费用实现跨省直接结算，惠及5700多万人次。推行药品和医用耗材集中带量采购，降低费用负担超过4000亿元。设置13个国家医学中心，布局建设76个国家区域医疗中心。全面推开公立医院综合改革，持续提升县域医疗卫生服务能力，完善分级诊疗体系。优化老年人等群体就医服务。促进中医药传承创新发展、惠及民生。基本公共卫生服务经费人均财政补助标准从50元提高到84元。坚持预防为主，加强重大慢性病健康管理。改革完善疾病预防控制体系，组建国家疾病预防控制局，健全重大疫情防控救治和应急物资保障体系，努力保障人民健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加强社会保障和服务。建立基本养老保险基金中央调剂制度，连续上调退休人员基本养老金，提高城乡居民基础养老金最低标准，稳步提升城乡低保、优待抚恤、失业和工伤保障等标准。积极应对人口老龄化，推动老龄事业和养老产业发展。发展社区和居家养老服务，加强配套设施和无障碍设施建设，在税费、用房、水电气价格等方面给予政策支持。推进医养结合，稳步推进长期护理保险制度试点。实施三孩生育政策及配套支持措施。完善退役军人管理保障制度，提高保障水平。加强妇女、儿童权益保障。完善未成年人保护制度。健全残疾人保障和关爱服务体系。健全社会救助体系，加强低收入人口动态监测，对遇困人员及时给予帮扶，年均临时救助1100万人次，坚决兜住了困难群众基本生活保障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丰富人民群众精神文化生活。培育和践行社会主义核心价值观。深化群众性精神文明创建。发展新闻出版、广播影视、文学艺术、哲学社会科学和档案等事业，加强智库建设。扎实推进媒体深度融合。提升国际传播效能。加强和创新互联网内容建设。弘扬中华优秀传统文化，加强文物和文化遗产保护传承。实施文化惠民工程，公共图书馆、博物馆、美术馆、文化馆站向社会免费开放。深入推进全民阅读。支持文化产业发展。加强国家科普能力建设。体育健儿勇创佳绩，全民健身广泛开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十）推进政府依法履职和社会治理创新，保持社会大局稳定。加强法治政府建设，使经济社会活动更好在法治轨道上运行。坚持依法行政、大道为公，严格规范公正文明执法，政府的权力来自人民，有权不可任性，用权必受监督。推动完善法律法规和规章制度，提请全国人大常委会审议法律议案50件，制定修订行政法规180件次。依法接受同级人大及其常委会的监督，自觉接受人民政协的民主监督，主动接受社会和舆论监督。认真办理人大代表建议和政协委员提案。加强审计、统计监督。持续深化政务公开。开展国务院大督查。支持工会、共青团、妇联等群团组织更好发挥作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加强和创新社会治理。推动市域社会治理现代化，完善基层治理，优化社区服务。支持社会组织、人道救助、社会工作、志愿服务、公益慈善等健康发展。深入推进信访积案化解。推进社会信用体系建设。完善公共法律服务体系。严格食品、药品尤其是疫苗监管。开展安全生产专项整治。改革和加强应急管理，提高防灾减灾救灾能力，做好洪涝干旱、森林草原火灾、地质灾害、地震等防御和气象服务。深入推进国家安全体系和能力建设。加强网络、数据安全和个人信息保护。持续加强社会治安综合治理，严厉打击各类违法犯罪，开展扫黑除恶专项斗争，依法严惩黑恶势力及其“保护伞”，平安中国、法治中国建设取得新进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各位代表！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五年来，各级政府认真贯彻落实党中央全面从严治党战略部署，扎实开展“不忘初心、牢记使命”主题教育和党史学习教育，弘扬伟大建党精神，严格落实中央八项规定精神，持之以恒纠治“四风”，重点纠治形式主义、官僚主义，“三公”经费大幅压减。严厉惩处违规建设楼堂馆所和偷税逃税等行为。加强廉洁政府建设。政府工作人员自觉接受法律监督、监察监督和人民监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做好经济社会发展工作，没有捷径，实干为要。五年来，坚持以习近平新时代中国特色社会主义思想为指导，全面贯彻党的基本理论、基本路线、基本方略。坚持以经济建设为中心，着力推动高质量发展，事不畏难、行不避艰，要求以实干践行承诺，凝心聚力抓发展；以民之所望为施政所向，始终把人民放在心中最高位置，一切以人民利益为重，仔细倾听群众呼声，深入了解群众冷暖，着力解决人民群众急难愁盼问题；坚持实事求是，尊重客观规律，坚决反对空谈浮夸、做表面文章、搞形象工程甚至盲目蛮干；以改革的办法、锲而不舍的精神解难题、激活力，激励敢于担当，对庸政懒政者问责。尊重人民群众首创精神，充分调动各方面积极性，进而汇聚起推动发展的强大力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各位代表！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过去五年，民族、宗教、侨务等工作创新完善。巩固和发展平等团结互助和谐的社会主义民族关系，民族团结进步呈现新气象。贯彻党的宗教工作基本方针，推进我国宗教中国化逐步深入。持续做好侨务工作，充分发挥海外侨胞在参与祖国现代化建设中的独特优势和重要作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坚持党对人民军队的绝对领导，国防和军队建设取得一系列新的重大成就、发生一系列重大变革。人民军队深入推进政治建军、改革强军、科技强军、人才强军、依法治军，深入推进练兵备战，现代化水平和实战能力显著提升。坚定灵活开展军事斗争，有效遂行边防斗争、海上维权、反恐维稳、抢险救灾、抗击疫情、维和护航等重大任务，提升国防动员能力，有力维护了国家主权、安全、发展利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港澳台工作取得新进展。依照宪法和基本法有效实施对特别行政区的全面管治权，制定实施香港特别行政区维护国家安全法，落实“爱国者治港”、“爱国者治澳”原则，推动香港进入由乱到治走向由治及兴的新阶段。深入推进粤港澳大湾区建设，支持港澳发展经济、改善民生、防控疫情、保持稳定。贯彻新时代党解决台湾问题的总体方略，坚决开展反分裂、反干涉重大斗争，持续推动两岸关系和平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中国特色大国外交全面推进。习近平主席等党和国家领导人出访多国，通过线上和线下方式出席二十国集团领导人峰会、亚太经合组织领导人非正式会议、联合国成立75周年系列高级别会议、东亚合作领导人系列会议、中欧领导人会晤等一系列重大外交活动。成功举办上合组织青岛峰会、金砖国家领导人会晤、全球发展高层对话会、“一带一路”国际合作高峰论坛、中非合作论坛北京峰会等多场重大主场外交活动。坚持敢于斗争、善于斗争，坚决维护我国主权、安全、发展利益。积极拓展全球伙伴关系，致力于建设开放型世界经济，维护多边主义，推动构建人类命运共同体。中国作为负责任大国，在推进国际抗疫合作、解决全球性挑战和地区热点问题上发挥了重要建设性作用，为促进世界和平与发展作出重要贡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各位代表！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这些年我国发展取得的成就，是以习近平同志为核心的党中央坚强领导的结果，是习近平新时代中国特色社会主义思想科学指引的结果，是全党全军全国各族人民团结奋斗的结果。我代表国务院，向全国各族人民，向各民主党派、各人民团体和各界人士，表示诚挚感谢！向香港特别行政区同胞、澳门特别行政区同胞、台湾同胞和海外侨胞，表示诚挚感谢！向关心和支持中国现代化建设的各国政府、国际组织和各国朋友，表示诚挚感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在看到发展成就的同时，我们也清醒认识到，我国是一个发展中大国，仍处于社会主义初级阶段，发展不平衡不充分问题仍然突出。当前发展面临诸多困难挑战。外部环境不确定性加大，全球通胀仍处于高位，世界经济和贸易增长动能减弱，外部打压遏制不断上升。国内经济增长企稳向上基础尚需巩固，需求不足仍是突出矛盾，民间投资和民营企业预期不稳，不少中小微企业和个体工商户困难较大，稳就业任务艰巨，一些基层财政收支矛盾较大。房地产市场风险隐患较多，一些中小金融机构风险暴露。发展仍有不少体制机制障碍。科技创新能力还不强。生态环境保护任重道远。防灾减灾等城乡基础设施仍有明显薄弱环节。一些民生领域存在不少短板。形式主义、官僚主义现象仍较突出，有的地方政策执行“一刀切”、层层加码，有的干部不作为、乱作为、简单化，存在脱离实际、违背群众意愿、漠视群众合法权益等问题。一些领域、行业、地方腐败现象时有发生。人民群众对政府工作还有一些意见和建议应予重视。要直面问题挑战，尽心竭力改进政府工作，不负人民重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20" w:firstLineChars="155"/>
        <w:textAlignment w:val="auto"/>
        <w:rPr>
          <w:rFonts w:hint="eastAsia" w:ascii="宋体" w:hAnsi="宋体" w:eastAsia="宋体" w:cs="宋体"/>
          <w:color w:val="222222"/>
          <w:sz w:val="24"/>
          <w:szCs w:val="24"/>
        </w:rPr>
      </w:pPr>
      <w:r>
        <w:rPr>
          <w:rStyle w:val="11"/>
          <w:rFonts w:hint="eastAsia" w:ascii="宋体" w:hAnsi="宋体" w:eastAsia="宋体" w:cs="宋体"/>
          <w:i w:val="0"/>
          <w:iCs w:val="0"/>
          <w:caps w:val="0"/>
          <w:color w:val="222222"/>
          <w:spacing w:val="15"/>
          <w:sz w:val="24"/>
          <w:szCs w:val="24"/>
          <w:shd w:val="clear" w:fill="FFFFFF"/>
        </w:rPr>
        <w:t>二、对今年政府工作的建议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今年是全面贯彻党的二十大精神的开局之年。做好政府工作，要在以习近平同志为核心的党中央坚强领导下，以习近平新时代中国特色社会主义思想为指导，全面贯彻落实党的二十大精神，按照中央经济工作会议部署，扎实推进中国式现代化，坚持稳中求进工作总基调，完整、准确、全面贯彻新发展理念，加快构建新发展格局，着力推动高质量发展，更好统筹国内国际两个大局，更好统筹疫情防控和经济社会发展，更好统筹发展和安全，全面深化改革开放，大力提振市场信心，把实施扩大内需战略同深化供给侧结构性改革有机结合起来，突出做好稳增长、稳就业、稳物价工作，有效防范化解重大风险，推动经济运行整体好转，实现质的有效提升和量的合理增长，持续改善民生，保持社会大局稳定，为全面建设社会主义现代化国家开好局起好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今年发展主要预期目标是：国内生产总值增长5%左右；城镇新增就业1200万人左右，城镇调查失业率5.5%左右；居民消费价格涨幅3%左右；居民收入增长与经济增长基本同步；进出口促稳提质，国际收支基本平衡；粮食产量保持在1.3万亿斤以上；单位国内生产总值能耗和主要污染物排放量继续下降，重点控制化石能源消费，生态环境质量稳定改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要坚持稳字当头、稳中求进，面对战略机遇和风险挑战并存、不确定难预料因素增多，保持政策连续性稳定性针对性，加强各类政策协调配合，形成共促高质量发展合力。积极的财政政策要加力提效。赤字率拟按3%安排。完善税费优惠政策，对现行减税降费、退税缓税等措施，该延续的延续，该优化的优化。做好基层“三保”工作。稳健的货币政策要精准有力。保持广义货币供应量和社会融资规模增速同名义经济增速基本匹配，支持实体经济发展。保持人民币汇率在合理均衡水平上的基本稳定。产业政策要发展和安全并举。促进传统产业改造升级，培育壮大战略性新兴产业，着力补强产业链薄弱环节。科技政策要聚焦自立自强，也要坚持国际合作。完善新型举国体制，发挥好政府在关键核心技术攻关中的组织作用，支持和突出企业科技创新主体地位，加大科技人才及团队培养支持力度。社会政策要兜牢民生底线。落实落细就业优先政策，把促进青年特别是高校毕业生就业工作摆在更加突出的位置，切实保障好基本民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当前我国新冠疫情防控已进入“乙类乙管”常态化防控阶段，要在对疫情防控工作进行全面科学总结的基础上，更加科学、精准、高效做好防控工作，围绕保健康、防重症，重点做好老年人、儿童、患基础性疾病群体的疫情防控和医疗救治，提升疫情监测水平，推进疫苗迭代升级和新药研制，切实保障群众就医用药需求，守护好人民生命安全和身体健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今年是政府换届之年，前面报告的经济社会发展多领域、各方面工作，今后还需不懈努力，下面简述几项重点。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一）着力扩大国内需求。把恢复和扩大消费摆在优先位置。多渠道增加城乡居民收入。稳定汽车等大宗消费，推动餐饮、文化、旅游、体育等生活服务消费恢复。政府投资和政策激励要有效带动全社会投资，今年拟安排地方政府专项债券3.8万亿元，加快实施“十四五”重大工程，实施城市更新行动，促进区域优势互补、各展其长，继续加大对受疫情冲击较严重地区经济社会发展的支持力度，鼓励和吸引更多民间资本参与国家重大工程和补短板项目建设，激发民间投资活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二）加快建设现代化产业体系。强化科技创新对产业发展的支撑。持续开展产业强链补链行动，围绕制造业重点产业链，集中优质资源合力推进关键核心技术攻关，充分激发创新活力。加强重要能源、矿产资源国内勘探开发和增储上产。加快传统产业和中小企业数字化转型，着力提升高端化、智能化、绿色化水平。加快前沿技术研发和应用推广，促进科技成果转化。建设高效顺畅的物流体系。大力发展数字经济，提升常态化监管水平，支持平台经济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三）切实落实“两个毫不动摇”。深化国资国企改革，提高国企核心竞争力。坚持分类改革方向，处理好国企经济责任和社会责任关系，完善中国特色国有企业现代公司治理。依法保护民营企业产权和企业家权益，完善相关政策，鼓励支持民营经济和民营企业发展壮大，支持中小微企业和个体工商户发展，构建亲清政商关系，为各类所有制企业创造公平竞争、竞相发展的环境，用真招实策稳定市场预期和提振市场信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四）更大力度吸引和利用外资。扩大市场准入，加大现代服务业领域开放力度。落实好外资企业国民待遇。积极推动加入全面与进步跨太平洋伙伴关系协定（CPTPP）等高标准经贸协议，主动对照相关规则、规制、管理、标准，稳步扩大制度型开放。优化区域开放布局，实施自由贸易试验区提升战略，发挥好海南自由贸易港、各类开发区等开放平台的先行先试作用。继续发挥进出口对经济的支撑作用。做好外资企业服务工作，推动外资标志性项目落地建设。开放的中国大市场，一定能为各国企业在华发展提供更多机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五）有效防范化解重大经济金融风险。深化金融体制改革，完善金融监管，压实各方责任，防止形成区域性、系统性金融风险。有效防范化解优质头部房企风险，改善资产负债状况，防止无序扩张，促进房地产业平稳发展。防范化解地方政府债务风险，优化债务期限结构，降低利息负担，遏制增量、化解存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六）稳定粮食生产和推进乡村振兴。一体推进农业现代化和农村现代化。稳定粮食播种面积，抓好油料生产，实施新一轮千亿斤粮食产能提升行动。完善农资保供稳价应对机制。加强耕地保护，加强农田水利和高标准农田等基础设施建设。深入实施种业振兴行动。强化农业科技和装备支撑。健全种粮农民收益保障机制和主产区利益补偿机制。树立大食物观，构建多元化食物供给体系。发展乡村特色产业，拓宽农民增收致富渠道。巩固拓展脱贫攻坚成果，坚决防止出现规模性返贫。推进乡村建设行动。国家关于土地承包期再延长30年的政策，务必通过细致工作扎实落实到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七）推动发展方式绿色转型。深入推进环境污染防治。加强流域综合治理，加强城乡环境基础设施建设，持续实施重要生态系统保护和修复重大工程。推进能源清洁高效利用和技术研发，加快建设新型能源体系，提升可再生能源占比。完善支持绿色发展的政策和金融工具，发展循环经济，推进资源节约集约利用，推动重点领域节能降碳减污，持续打好蓝天、碧水、净土保卫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八）保障基本民生和发展社会事业。加强住房保障体系建设，支持刚性和改善性住房需求，解决好新市民、青年人等住房问题，加快推进老旧小区和危旧房改造。加快建设高质量教育体系，推进义务教育优质均衡发展和城乡一体化，推进学前教育、特殊教育普惠发展，大力发展职业教育，推进高等教育创新，支持中西部地区高校发展，深化体教融合。深化医药卫生体制改革，促进医保、医疗、医药协同发展和治理。推动优质医疗资源扩容下沉和区域均衡布局。实施中医药振兴发展重大工程。重视心理健康和精神卫生。实施积极应对人口老龄化国家战略，加强养老服务保障，完善生育支持政策体系。保障妇女、儿童、老年人、残疾人合法权益。做好军人军属、退役军人和其他优抚对象优待抚恤工作。繁荣发展文化事业和产业。提升社会治理效能。强化安全生产监管和防灾减灾救灾。全面贯彻总体国家安全观，建设更高水平的平安中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进一步加强政府自身建设，持续转变政府职能，搞好机构改革，扎实推进法治政府、创新政府、廉洁政府和服务型政府建设，发扬实干精神，大兴调查研究之风，提高行政效率和公信力。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各位代表！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我们要以铸牢中华民族共同体意识为主线，坚持和完善民族区域自治制度，促进各民族共同团结奋斗、共同繁荣发展。坚持党的宗教工作基本方针，坚持我国宗教中国化方向，积极引导宗教与社会主义社会相适应。加强和改进侨务工作，汇聚起海内外中华儿女同心奋斗、共创辉煌的强大力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我们要深入贯彻习近平强军思想，贯彻新时代军事战略方针，围绕实现建军一百年奋斗目标，边斗争、边备战、边建设，完成好党和人民赋予的各项任务。全面加强练兵备战，创新军事战略指导，大抓实战化军事训练，统筹抓好各方向各领域军事斗争。全面加强军事治理，巩固拓展国防和军队改革成果，加强重大任务战建备统筹，加快实施国防发展重大工程。巩固提高一体化国家战略体系和能力，加强国防科技工业能力建设。深化全民国防教育。各级政府要大力支持国防和军队建设，深入开展“双拥”活动，合力谱写军政军民团结新篇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我们要全面准确、坚定不移贯彻“一国两制”、“港人治港”、“澳人治澳”、高度自治的方针，坚持依法治港治澳，维护宪法和基本法确定的特别行政区宪制秩序，落实“爱国者治港”、“爱国者治澳”原则。支持港澳发展经济、改善民生，保持香港、澳门长期繁荣稳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我们要坚持贯彻新时代党解决台湾问题的总体方略，坚持一个中国原则和“九二共识”，坚定反“独”促统，推动两岸关系和平发展，推进祖国和平统一进程。两岸同胞血脉相连，要促进两岸经济文化交流合作，完善增进台湾同胞福祉的制度和政策，推动两岸共同弘扬中华文化，同心共创复兴伟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我们要坚定奉行独立自主的和平外交政策，坚定不移走和平发展道路，坚持在和平共处五项原则基础上同各国发展友好合作，坚定奉行互利共赢的开放战略，始终做世界和平的建设者、全球发展的贡献者、国际秩序的维护者。中国愿同国际社会一道落实全球发展倡议、全球安全倡议，弘扬全人类共同价值，携手推动构建人类命运共同体，维护世界和平和地区稳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各位代表！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奋斗铸就辉煌，实干赢得未来。我们要更加紧密地团结在以习近平同志为核心的党中央周围，高举中国特色社会主义伟大旗帜，以习近平新时代中国特色社会主义思想为指导，全面贯彻党的二十大精神，砥砺前行，推动经济社会持续健康发展，为全面建设社会主义现代化国家、全面推进中华民族伟大复兴，为把我国建设成为富强民主文明和谐美丽的社会主义现代化强国不懈奋斗！</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0"/>
          <w:szCs w:val="30"/>
          <w:shd w:val="clear" w:color="auto" w:fill="FFFFFF"/>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001010101"/>
    <w:charset w:val="86"/>
    <w:family w:val="auto"/>
    <w:pitch w:val="default"/>
    <w:sig w:usb0="00000000" w:usb1="00000000" w:usb2="00000000" w:usb3="00000000" w:csb0="00040000" w:csb1="00000000"/>
  </w:font>
  <w:font w:name="华文仿宋">
    <w:altName w:val="仿宋"/>
    <w:panose1 w:val="020106000400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IMu7es8BAACbAwAADgAAAAAAAAABACAAAAAfAQAAZHJz&#10;L2Uyb0RvYy54bWxQSwUGAAAAAAYABgBZAQAAYA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hYmFhOGY1OWMzNDQ4NzY2YzBhNmFiNGRhMDlhOWUifQ=="/>
    <w:docVar w:name="KSO_WPS_MARK_KEY" w:val="ed1ced89-3d1f-462b-bd47-a39d3efdf9ad"/>
  </w:docVars>
  <w:rsids>
    <w:rsidRoot w:val="00000000"/>
    <w:rsid w:val="026D0008"/>
    <w:rsid w:val="0B177372"/>
    <w:rsid w:val="4ED05B2C"/>
    <w:rsid w:val="65112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paragraph" w:styleId="4">
    <w:name w:val="heading 3"/>
    <w:basedOn w:val="1"/>
    <w:next w:val="1"/>
    <w:qFormat/>
    <w:uiPriority w:val="0"/>
    <w:pPr>
      <w:spacing w:before="0" w:beforeAutospacing="0" w:after="0" w:afterAutospacing="0"/>
      <w:ind w:left="0" w:right="0"/>
      <w:jc w:val="left"/>
    </w:pPr>
    <w:rPr>
      <w:rFonts w:hint="eastAsia" w:ascii="宋体" w:hAnsi="宋体" w:eastAsia="宋体" w:cs="宋体"/>
      <w:b/>
      <w:bCs/>
      <w:kern w:val="0"/>
      <w:sz w:val="27"/>
      <w:szCs w:val="27"/>
      <w:lang w:val="en-US" w:eastAsia="zh-CN"/>
    </w:rPr>
  </w:style>
  <w:style w:type="character" w:default="1" w:styleId="10">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39"/>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character" w:styleId="11">
    <w:name w:val="Strong"/>
    <w:basedOn w:val="10"/>
    <w:qFormat/>
    <w:uiPriority w:val="0"/>
    <w:rPr>
      <w:b/>
    </w:rPr>
  </w:style>
  <w:style w:type="character" w:styleId="12">
    <w:name w:val="FollowedHyperlink"/>
    <w:basedOn w:val="10"/>
    <w:qFormat/>
    <w:uiPriority w:val="0"/>
    <w:rPr>
      <w:color w:val="005C81"/>
      <w:u w:val="none"/>
    </w:rPr>
  </w:style>
  <w:style w:type="character" w:styleId="13">
    <w:name w:val="Emphasis"/>
    <w:basedOn w:val="10"/>
    <w:qFormat/>
    <w:uiPriority w:val="0"/>
  </w:style>
  <w:style w:type="character" w:styleId="14">
    <w:name w:val="Hyperlink"/>
    <w:basedOn w:val="10"/>
    <w:qFormat/>
    <w:uiPriority w:val="99"/>
    <w:rPr>
      <w:color w:val="0563C1"/>
      <w:u w:val="single"/>
    </w:rPr>
  </w:style>
  <w:style w:type="character" w:customStyle="1" w:styleId="15">
    <w:name w:val="标题 1 字符"/>
    <w:basedOn w:val="10"/>
    <w:link w:val="2"/>
    <w:qFormat/>
    <w:uiPriority w:val="0"/>
    <w:rPr>
      <w:rFonts w:ascii="Calibri" w:hAnsi="Calibri" w:eastAsia="宋体" w:cs="宋体"/>
      <w:b/>
      <w:bCs/>
      <w:kern w:val="44"/>
      <w:sz w:val="44"/>
      <w:szCs w:val="44"/>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CBA4DE-7F73-40B1-ADD8-A1C074E599E1}">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25</Pages>
  <Words>21254</Words>
  <Characters>21690</Characters>
  <Paragraphs>135</Paragraphs>
  <TotalTime>7</TotalTime>
  <ScaleCrop>false</ScaleCrop>
  <LinksUpToDate>false</LinksUpToDate>
  <CharactersWithSpaces>21696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DHQ</dc:creator>
  <cp:lastModifiedBy>Administrator</cp:lastModifiedBy>
  <cp:lastPrinted>2022-09-02T06:16:00Z</cp:lastPrinted>
  <dcterms:modified xsi:type="dcterms:W3CDTF">2023-03-27T01:10:43Z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7122D06635D0493FA0E39B935182AB53</vt:lpwstr>
  </property>
</Properties>
</file>