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第1期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114300" distR="114300" simplePos="0" relativeHeight="251660288" behindDoc="1" locked="0" layoutInCell="1" allowOverlap="1">
                <wp:simplePos x="0" y="0"/>
                <wp:positionH relativeFrom="column">
                  <wp:posOffset>-228600</wp:posOffset>
                </wp:positionH>
                <wp:positionV relativeFrom="paragraph">
                  <wp:posOffset>0</wp:posOffset>
                </wp:positionV>
                <wp:extent cx="6057900" cy="544830"/>
                <wp:effectExtent l="5080" t="4445" r="13970" b="22225"/>
                <wp:wrapNone/>
                <wp:docPr id="3" name="文本框 3"/>
                <wp:cNvGraphicFramePr/>
                <a:graphic xmlns:a="http://schemas.openxmlformats.org/drawingml/2006/main">
                  <a:graphicData uri="http://schemas.microsoft.com/office/word/2010/wordprocessingShape">
                    <wps:wsp>
                      <wps:cNvSpPr txBox="1"/>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a:effectLst/>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2</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27</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shape id="_x0000_s1026" o:spid="_x0000_s1026" o:spt="202" type="#_x0000_t202" style="position:absolute;left:0pt;margin-left:-18pt;margin-top:0pt;height:42.9pt;width:477pt;z-index:-251656192;mso-width-relative:page;mso-height-relative:page;" fillcolor="#FFFFFF" filled="t" stroked="t" coordsize="21600,21600" o:gfxdata="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kNLRdYAAAAH&#10;AQAADwAAAAAAAAABACAAAAAiAAAAZHJzL2Rvd25yZXYueG1sUEsBAhQAFAAAAAgAh07iQLAqjVse&#10;AgAAYQQAAA4AAAAAAAAAAQAgAAAAJQEAAGRycy9lMm9Eb2MueG1sUEsFBgAAAAAGAAYAWQEAALUF&#10;A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2</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27</w:t>
                      </w:r>
                      <w:r>
                        <w:rPr>
                          <w:rFonts w:hint="eastAsia" w:ascii="仿宋_GB2312" w:hAnsi="宋体" w:eastAsia="仿宋_GB2312" w:cs="Times New Roman"/>
                          <w:b/>
                          <w:color w:val="000000"/>
                          <w:sz w:val="32"/>
                          <w:szCs w:val="32"/>
                        </w:rPr>
                        <w:t>日</w:t>
                      </w:r>
                    </w:p>
                  </w:txbxContent>
                </v:textbox>
              </v:shape>
            </w:pict>
          </mc:Fallback>
        </mc:AlternateContent>
      </w:r>
      <w:r>
        <w:rPr>
          <w:rFonts w:hint="eastAsia" w:ascii="宋体" w:hAnsi="宋体" w:eastAsia="宋体"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99060</wp:posOffset>
                </wp:positionV>
                <wp:extent cx="5805170" cy="0"/>
                <wp:effectExtent l="0" t="9525" r="5080" b="9525"/>
                <wp:wrapNone/>
                <wp:docPr id="4"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pt;margin-top:7.8pt;height:0pt;width:457.1pt;z-index:251661312;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eS2US1wAAAAkBAAAPAAAAAAAAAAEAIAAAACIAAABkcnMvZG93bnJldi54bWxQSwECFAAU&#10;AAAACACHTuJAY7nPufIBAADnAwAADgAAAAAAAAABACAAAAAmAQAAZHJzL2Uyb0RvYy54bWxQSwUG&#10;AAAAAAYABgBZAQAAigUAAAAA&#10;">
                <v:fill on="f" focussize="0,0"/>
                <v:stroke weight="1.5pt" color="#FFFFFF" joinstyle="round"/>
                <v:imagedata o:title=""/>
                <o:lock v:ext="edit" aspectratio="f"/>
              </v:line>
            </w:pict>
          </mc:Fallback>
        </mc:AlternateContent>
      </w:r>
      <w:bookmarkStart w:id="0" w:name="_Toc14317"/>
      <w:bookmarkStart w:id="1" w:name="_Toc28141"/>
      <w:bookmarkStart w:id="2" w:name="_Toc27463"/>
      <w:bookmarkStart w:id="3" w:name="_Toc31568"/>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114300" distR="114300" simplePos="0" relativeHeight="251662336" behindDoc="0" locked="0" layoutInCell="1" allowOverlap="1">
                <wp:simplePos x="0" y="0"/>
                <wp:positionH relativeFrom="column">
                  <wp:posOffset>-93345</wp:posOffset>
                </wp:positionH>
                <wp:positionV relativeFrom="paragraph">
                  <wp:posOffset>57785</wp:posOffset>
                </wp:positionV>
                <wp:extent cx="581977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7.35pt;margin-top:4.55pt;height:0.75pt;width:458.25pt;z-index:251662336;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W8y8fXAAAACAEAAA8AAAAAAAAAAQAgAAAAIgAAAGRycy9kb3ducmV2Lnht&#10;bFBLAQIUABQAAAAIAIdO4kAGIso6+gEAAPMDAAAOAAAAAAAAAAEAIAAAACYBAABkcnMvZTJvRG9j&#10;LnhtbFBLBQYAAAAABgAGAFkBAACSBQAAAAA=&#10;">
                <v:fill on="f" focussize="0,0"/>
                <v:stroke color="#FF0000" joinstyle="round"/>
                <v:imagedata o:title=""/>
                <o:lock v:ext="edit" aspectratio="f"/>
              </v:line>
            </w:pict>
          </mc:Fallback>
        </mc:AlternateContent>
      </w:r>
    </w:p>
    <w:p>
      <w:pPr>
        <w:spacing w:line="240" w:lineRule="atLeast"/>
        <w:rPr>
          <w:rFonts w:ascii="仿宋_GB2312" w:hAnsi="Cambria" w:eastAsia="仿宋_GB2312" w:cs="Times New Roman"/>
          <w:b/>
          <w:kern w:val="0"/>
          <w:sz w:val="36"/>
          <w:szCs w:val="36"/>
          <w:lang w:val="zh-CN"/>
        </w:rPr>
      </w:pPr>
    </w:p>
    <w:p>
      <w:pPr>
        <w:spacing w:line="240" w:lineRule="atLeast"/>
        <w:rPr>
          <w:rFonts w:ascii="仿宋_GB2312" w:hAnsi="Cambria" w:eastAsia="仿宋_GB2312" w:cs="Times New Roman"/>
          <w:b/>
          <w:kern w:val="0"/>
          <w:sz w:val="36"/>
          <w:szCs w:val="36"/>
          <w:lang w:val="zh-CN"/>
        </w:rPr>
      </w:pPr>
    </w:p>
    <w:p>
      <w:pPr>
        <w:spacing w:line="240" w:lineRule="atLeast"/>
        <w:rPr>
          <w:rFonts w:ascii="华文仿宋" w:hAnsi="华文仿宋" w:eastAsia="华文仿宋" w:cs="Times New Roman"/>
          <w:b/>
          <w:sz w:val="36"/>
          <w:szCs w:val="36"/>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spacing w:line="360" w:lineRule="auto"/>
        <w:rPr>
          <w:rFonts w:ascii="仿宋_GB2312" w:hAnsi="Calibri" w:eastAsia="仿宋_GB2312" w:cs="Times New Roman"/>
          <w:b/>
          <w:bCs/>
          <w:sz w:val="36"/>
          <w:szCs w:val="36"/>
        </w:rPr>
      </w:pPr>
    </w:p>
    <w:p>
      <w:pPr>
        <w:pStyle w:val="2"/>
        <w:keepNext w:val="0"/>
        <w:keepLines w:val="0"/>
        <w:widowControl/>
        <w:suppressLineNumbers w:val="0"/>
        <w:spacing w:before="0" w:beforeAutospacing="0" w:after="0" w:afterAutospacing="0" w:line="270" w:lineRule="atLeast"/>
        <w:ind w:left="0" w:right="0"/>
        <w:jc w:val="left"/>
        <w:rPr>
          <w:rFonts w:hint="eastAsia" w:ascii="仿宋" w:hAnsi="仿宋" w:eastAsia="仿宋" w:cs="仿宋"/>
          <w:b w:val="0"/>
          <w:bCs/>
          <w:snapToGrid w:val="0"/>
          <w:spacing w:val="-8"/>
          <w:kern w:val="2"/>
          <w:sz w:val="36"/>
          <w:szCs w:val="36"/>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习近平在学习贯彻党的二十大精神研讨班开班式上发表重要讲话</w:t>
      </w:r>
    </w:p>
    <w:p>
      <w:pPr>
        <w:tabs>
          <w:tab w:val="right" w:leader="dot" w:pos="8296"/>
        </w:tabs>
        <w:spacing w:line="560" w:lineRule="exact"/>
        <w:rPr>
          <w:rFonts w:hint="eastAsia" w:ascii="仿宋" w:hAnsi="仿宋" w:eastAsia="仿宋" w:cs="仿宋"/>
          <w:b w:val="0"/>
          <w:bCs/>
          <w:snapToGrid w:val="0"/>
          <w:spacing w:val="-8"/>
          <w:kern w:val="2"/>
          <w:sz w:val="36"/>
          <w:szCs w:val="36"/>
          <w:lang w:val="en-US" w:eastAsia="zh-CN" w:bidi="ar-SA"/>
        </w:rPr>
      </w:pPr>
      <w:r>
        <w:rPr>
          <w:rFonts w:hint="eastAsia" w:ascii="仿宋" w:hAnsi="仿宋" w:eastAsia="仿宋" w:cs="仿宋"/>
          <w:b w:val="0"/>
          <w:bCs/>
          <w:snapToGrid w:val="0"/>
          <w:spacing w:val="-8"/>
          <w:kern w:val="2"/>
          <w:sz w:val="36"/>
          <w:szCs w:val="36"/>
          <w:lang w:val="en-US" w:eastAsia="zh-CN" w:bidi="ar-SA"/>
        </w:rPr>
        <w:tab/>
      </w:r>
      <w:r>
        <w:rPr>
          <w:rFonts w:hint="eastAsia" w:ascii="仿宋" w:hAnsi="仿宋" w:eastAsia="仿宋" w:cs="仿宋"/>
          <w:b w:val="0"/>
          <w:bCs/>
          <w:snapToGrid w:val="0"/>
          <w:spacing w:val="-8"/>
          <w:kern w:val="2"/>
          <w:sz w:val="36"/>
          <w:szCs w:val="36"/>
          <w:lang w:val="en-US" w:eastAsia="zh-CN" w:bidi="ar-SA"/>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780" w:lineRule="atLeast"/>
        <w:ind w:left="0" w:right="0" w:firstLine="0"/>
        <w:jc w:val="left"/>
        <w:rPr>
          <w:rFonts w:hint="eastAsia" w:ascii="仿宋" w:hAnsi="仿宋" w:eastAsia="仿宋" w:cs="仿宋"/>
          <w:b w:val="0"/>
          <w:bCs/>
          <w:snapToGrid w:val="0"/>
          <w:spacing w:val="-8"/>
          <w:kern w:val="2"/>
          <w:sz w:val="32"/>
          <w:szCs w:val="32"/>
          <w:lang w:val="en-US" w:eastAsia="zh-CN" w:bidi="ar-SA"/>
        </w:rPr>
      </w:pPr>
      <w:r>
        <w:rPr>
          <w:rFonts w:hint="eastAsia" w:ascii="仿宋" w:hAnsi="仿宋" w:eastAsia="仿宋" w:cs="仿宋"/>
          <w:b w:val="0"/>
          <w:bCs/>
          <w:snapToGrid w:val="0"/>
          <w:spacing w:val="-8"/>
          <w:kern w:val="2"/>
          <w:sz w:val="36"/>
          <w:szCs w:val="36"/>
          <w:lang w:val="en-US" w:eastAsia="zh-CN" w:bidi="ar-SA"/>
        </w:rPr>
        <w:t>◆</w:t>
      </w:r>
      <w:r>
        <w:rPr>
          <w:rFonts w:hint="eastAsia" w:ascii="仿宋" w:hAnsi="仿宋" w:eastAsia="仿宋" w:cs="仿宋"/>
          <w:b w:val="0"/>
          <w:bCs/>
          <w:snapToGrid w:val="0"/>
          <w:spacing w:val="-8"/>
          <w:kern w:val="2"/>
          <w:sz w:val="32"/>
          <w:szCs w:val="32"/>
          <w:lang w:val="en-US" w:eastAsia="zh-CN" w:bidi="ar-SA"/>
        </w:rPr>
        <w:t>《加快建设教育强国》——怀进鹏</w:t>
      </w:r>
    </w:p>
    <w:p>
      <w:pPr>
        <w:tabs>
          <w:tab w:val="right" w:leader="dot" w:pos="8296"/>
        </w:tabs>
        <w:spacing w:line="560" w:lineRule="exact"/>
        <w:rPr>
          <w:rFonts w:hint="default" w:ascii="仿宋" w:hAnsi="仿宋" w:eastAsia="仿宋" w:cs="仿宋"/>
          <w:bCs/>
          <w:snapToGrid w:val="0"/>
          <w:spacing w:val="-8"/>
          <w:sz w:val="36"/>
          <w:szCs w:val="36"/>
          <w:lang w:val="en-US" w:eastAsia="zh-CN"/>
        </w:rPr>
      </w:pPr>
      <w:r>
        <w:rPr>
          <w:rFonts w:hint="eastAsia" w:ascii="仿宋" w:hAnsi="仿宋" w:eastAsia="仿宋" w:cs="仿宋"/>
          <w:bCs/>
          <w:snapToGrid w:val="0"/>
          <w:spacing w:val="-8"/>
          <w:sz w:val="36"/>
          <w:szCs w:val="36"/>
        </w:rPr>
        <w:tab/>
      </w:r>
      <w:r>
        <w:rPr>
          <w:rFonts w:hint="eastAsia" w:ascii="仿宋" w:hAnsi="仿宋" w:eastAsia="仿宋" w:cs="仿宋"/>
          <w:bCs/>
          <w:snapToGrid w:val="0"/>
          <w:color w:val="auto"/>
          <w:spacing w:val="-8"/>
          <w:sz w:val="36"/>
          <w:szCs w:val="36"/>
          <w:lang w:val="en-US" w:eastAsia="zh-CN"/>
        </w:rPr>
        <w:t>8</w:t>
      </w:r>
    </w:p>
    <w:p>
      <w:pPr>
        <w:tabs>
          <w:tab w:val="right" w:leader="dot" w:pos="8296"/>
        </w:tabs>
        <w:spacing w:line="560" w:lineRule="exact"/>
        <w:rPr>
          <w:rFonts w:hint="default" w:ascii="仿宋" w:hAnsi="仿宋" w:eastAsia="仿宋" w:cs="仿宋"/>
          <w:bCs/>
          <w:snapToGrid w:val="0"/>
          <w:spacing w:val="-8"/>
          <w:sz w:val="36"/>
          <w:szCs w:val="36"/>
          <w:lang w:val="en-US" w:eastAsia="zh-CN"/>
        </w:rPr>
      </w:pPr>
    </w:p>
    <w:p>
      <w:pPr>
        <w:tabs>
          <w:tab w:val="right" w:leader="dot" w:pos="8296"/>
        </w:tabs>
        <w:spacing w:line="560" w:lineRule="exact"/>
        <w:jc w:val="center"/>
        <w:rPr>
          <w:rFonts w:hint="eastAsia" w:ascii="仿宋" w:hAnsi="仿宋" w:eastAsia="仿宋" w:cs="仿宋"/>
          <w:b/>
          <w:bCs/>
          <w:kern w:val="2"/>
          <w:sz w:val="30"/>
          <w:szCs w:val="30"/>
          <w:lang w:val="en-US" w:eastAsia="zh-CN" w:bidi="ar-SA"/>
        </w:rPr>
      </w:pPr>
    </w:p>
    <w:p>
      <w:pPr>
        <w:tabs>
          <w:tab w:val="right" w:leader="dot" w:pos="8296"/>
        </w:tabs>
        <w:spacing w:line="560" w:lineRule="exact"/>
        <w:jc w:val="center"/>
        <w:rPr>
          <w:rFonts w:hint="eastAsia" w:ascii="仿宋" w:hAnsi="仿宋" w:eastAsia="仿宋" w:cs="仿宋"/>
          <w:b/>
          <w:bCs/>
          <w:kern w:val="2"/>
          <w:sz w:val="30"/>
          <w:szCs w:val="30"/>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kern w:val="2"/>
          <w:sz w:val="30"/>
          <w:szCs w:val="30"/>
          <w:lang w:val="en-US" w:eastAsia="zh-CN" w:bidi="ar-SA"/>
        </w:rPr>
      </w:pPr>
      <w:r>
        <w:rPr>
          <w:rStyle w:val="11"/>
          <w:rFonts w:hint="eastAsia" w:ascii="仿宋" w:hAnsi="仿宋" w:eastAsia="仿宋" w:cs="仿宋"/>
          <w:color w:val="auto"/>
          <w:sz w:val="30"/>
          <w:szCs w:val="30"/>
        </w:rPr>
        <w:t>习近平在学习贯彻党的二十大精神研讨班开班式上发表重要讲话强调</w:t>
      </w:r>
      <w:r>
        <w:rPr>
          <w:rStyle w:val="11"/>
          <w:rFonts w:hint="eastAsia" w:ascii="仿宋" w:hAnsi="仿宋" w:eastAsia="仿宋" w:cs="仿宋"/>
          <w:color w:val="auto"/>
          <w:sz w:val="30"/>
          <w:szCs w:val="30"/>
          <w:lang w:val="en-US" w:eastAsia="zh-CN"/>
        </w:rPr>
        <w:t xml:space="preserve"> </w:t>
      </w:r>
      <w:r>
        <w:rPr>
          <w:rStyle w:val="11"/>
          <w:rFonts w:hint="eastAsia" w:ascii="仿宋" w:hAnsi="仿宋" w:eastAsia="仿宋" w:cs="仿宋"/>
          <w:color w:val="auto"/>
          <w:sz w:val="30"/>
          <w:szCs w:val="30"/>
        </w:rPr>
        <w:t>正确理解和大力推进中国式现代化</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kern w:val="2"/>
          <w:sz w:val="30"/>
          <w:szCs w:val="30"/>
          <w:lang w:val="en-US" w:eastAsia="zh-CN" w:bidi="ar-SA"/>
        </w:rPr>
      </w:pPr>
      <w:r>
        <w:rPr>
          <w:rFonts w:hint="eastAsia" w:ascii="仿宋" w:hAnsi="仿宋" w:eastAsia="仿宋" w:cs="仿宋"/>
          <w:color w:val="3F3F3F"/>
          <w:kern w:val="2"/>
          <w:sz w:val="30"/>
          <w:szCs w:val="30"/>
          <w:lang w:val="en-US" w:eastAsia="zh-CN" w:bidi="ar-SA"/>
        </w:rPr>
        <w:t>新进中央委员会的委员、候补委员和省部级主要领导干部学习贯彻习近平新时代中国特色社会主义思想和党的二十大精神研讨班7日上午在中央党校（国家行政学院）开班。</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kern w:val="2"/>
          <w:sz w:val="30"/>
          <w:szCs w:val="30"/>
          <w:lang w:val="en-US" w:eastAsia="zh-CN" w:bidi="ar-SA"/>
        </w:rPr>
      </w:pPr>
      <w:r>
        <w:rPr>
          <w:rFonts w:hint="eastAsia" w:ascii="仿宋" w:hAnsi="仿宋" w:eastAsia="仿宋" w:cs="仿宋"/>
          <w:color w:val="3F3F3F"/>
          <w:kern w:val="2"/>
          <w:sz w:val="30"/>
          <w:szCs w:val="30"/>
          <w:lang w:val="en-US" w:eastAsia="zh-CN" w:bidi="ar-SA"/>
        </w:rPr>
        <w:t>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kern w:val="2"/>
          <w:sz w:val="30"/>
          <w:szCs w:val="30"/>
          <w:lang w:val="en-US" w:eastAsia="zh-CN" w:bidi="ar-SA"/>
        </w:rPr>
      </w:pPr>
      <w:r>
        <w:rPr>
          <w:rFonts w:hint="eastAsia" w:ascii="仿宋" w:hAnsi="仿宋" w:eastAsia="仿宋" w:cs="仿宋"/>
          <w:color w:val="3F3F3F"/>
          <w:kern w:val="2"/>
          <w:sz w:val="30"/>
          <w:szCs w:val="30"/>
          <w:lang w:val="en-US" w:eastAsia="zh-CN" w:bidi="ar-SA"/>
        </w:rPr>
        <w:t>中共中央政治局常委李强主持开班式，中共中央政治局常委赵乐际、王沪宁、蔡奇、丁薛祥、李希出席。</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kern w:val="2"/>
          <w:sz w:val="30"/>
          <w:szCs w:val="30"/>
          <w:lang w:val="en-US" w:eastAsia="zh-CN" w:bidi="ar-SA"/>
        </w:rPr>
      </w:pPr>
      <w:r>
        <w:rPr>
          <w:rFonts w:hint="eastAsia" w:ascii="仿宋" w:hAnsi="仿宋" w:eastAsia="仿宋" w:cs="仿宋"/>
          <w:color w:val="3F3F3F"/>
          <w:kern w:val="2"/>
          <w:sz w:val="30"/>
          <w:szCs w:val="30"/>
          <w:lang w:val="en-US" w:eastAsia="zh-CN" w:bidi="ar-SA"/>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sz w:val="30"/>
          <w:szCs w:val="30"/>
        </w:rPr>
      </w:pPr>
      <w:r>
        <w:rPr>
          <w:rFonts w:hint="eastAsia" w:ascii="仿宋" w:hAnsi="仿宋" w:eastAsia="仿宋" w:cs="仿宋"/>
          <w:color w:val="3F3F3F"/>
          <w:kern w:val="2"/>
          <w:sz w:val="30"/>
          <w:szCs w:val="30"/>
          <w:lang w:val="en-US" w:eastAsia="zh-CN" w:bidi="ar-SA"/>
        </w:rPr>
        <w:t>习近平强调，党的十八大以来，我们党在已有基础上继续前进，不断实现理论和实践上的创新突破，成功推进和拓展了中国式现代化。我们在认识上不断深化，创立了习近平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w:t>
      </w:r>
      <w:r>
        <w:rPr>
          <w:rFonts w:hint="eastAsia" w:ascii="仿宋" w:hAnsi="仿宋" w:eastAsia="仿宋" w:cs="仿宋"/>
          <w:color w:val="3F3F3F"/>
          <w:sz w:val="30"/>
          <w:szCs w:val="30"/>
        </w:rPr>
        <w:t>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sz w:val="30"/>
          <w:szCs w:val="30"/>
        </w:rPr>
      </w:pPr>
      <w:r>
        <w:rPr>
          <w:rFonts w:hint="eastAsia" w:ascii="仿宋" w:hAnsi="仿宋" w:eastAsia="仿宋" w:cs="仿宋"/>
          <w:color w:val="3F3F3F"/>
          <w:sz w:val="30"/>
          <w:szCs w:val="30"/>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sz w:val="30"/>
          <w:szCs w:val="30"/>
        </w:rPr>
      </w:pPr>
      <w:r>
        <w:rPr>
          <w:rFonts w:hint="eastAsia" w:ascii="仿宋" w:hAnsi="仿宋" w:eastAsia="仿宋" w:cs="仿宋"/>
          <w:color w:val="3F3F3F"/>
          <w:sz w:val="30"/>
          <w:szCs w:val="30"/>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sz w:val="30"/>
          <w:szCs w:val="30"/>
        </w:rPr>
      </w:pPr>
      <w:r>
        <w:rPr>
          <w:rFonts w:hint="eastAsia" w:ascii="仿宋" w:hAnsi="仿宋" w:eastAsia="仿宋" w:cs="仿宋"/>
          <w:color w:val="3F3F3F"/>
          <w:sz w:val="30"/>
          <w:szCs w:val="30"/>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sz w:val="30"/>
          <w:szCs w:val="30"/>
        </w:rPr>
      </w:pPr>
      <w:r>
        <w:rPr>
          <w:rFonts w:hint="eastAsia" w:ascii="仿宋" w:hAnsi="仿宋" w:eastAsia="仿宋" w:cs="仿宋"/>
          <w:color w:val="3F3F3F"/>
          <w:sz w:val="30"/>
          <w:szCs w:val="30"/>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sz w:val="30"/>
          <w:szCs w:val="30"/>
        </w:rPr>
      </w:pPr>
      <w:r>
        <w:rPr>
          <w:rFonts w:hint="eastAsia" w:ascii="仿宋" w:hAnsi="仿宋" w:eastAsia="仿宋" w:cs="仿宋"/>
          <w:color w:val="3F3F3F"/>
          <w:sz w:val="30"/>
          <w:szCs w:val="30"/>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sz w:val="30"/>
          <w:szCs w:val="30"/>
        </w:rPr>
      </w:pPr>
      <w:r>
        <w:rPr>
          <w:rFonts w:hint="eastAsia" w:ascii="仿宋" w:hAnsi="仿宋" w:eastAsia="仿宋" w:cs="仿宋"/>
          <w:color w:val="3F3F3F"/>
          <w:sz w:val="30"/>
          <w:szCs w:val="30"/>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sz w:val="30"/>
          <w:szCs w:val="30"/>
        </w:rPr>
      </w:pPr>
      <w:r>
        <w:rPr>
          <w:rFonts w:hint="eastAsia" w:ascii="仿宋" w:hAnsi="仿宋" w:eastAsia="仿宋" w:cs="仿宋"/>
          <w:color w:val="3F3F3F"/>
          <w:sz w:val="30"/>
          <w:szCs w:val="30"/>
        </w:rPr>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Fonts w:hint="eastAsia" w:ascii="仿宋" w:hAnsi="仿宋" w:eastAsia="仿宋" w:cs="仿宋"/>
          <w:color w:val="3F3F3F"/>
          <w:sz w:val="30"/>
          <w:szCs w:val="30"/>
        </w:rPr>
      </w:pPr>
      <w:r>
        <w:rPr>
          <w:rFonts w:hint="eastAsia" w:ascii="仿宋" w:hAnsi="仿宋" w:eastAsia="仿宋" w:cs="仿宋"/>
          <w:color w:val="3F3F3F"/>
          <w:sz w:val="30"/>
          <w:szCs w:val="30"/>
        </w:rPr>
        <w:t>中共中央政治局委员、中央书记处书记，是二十届中央委员的其他党和国家领导同志、中央军委委员出席开班式。</w:t>
      </w:r>
    </w:p>
    <w:p>
      <w:pPr>
        <w:keepNext w:val="0"/>
        <w:keepLines w:val="0"/>
        <w:pageBreakBefore w:val="0"/>
        <w:kinsoku/>
        <w:wordWrap/>
        <w:overflowPunct/>
        <w:topLinePunct w:val="0"/>
        <w:autoSpaceDE/>
        <w:autoSpaceDN/>
        <w:bidi w:val="0"/>
        <w:adjustRightInd/>
        <w:snapToGrid/>
        <w:spacing w:line="240" w:lineRule="atLeast"/>
        <w:ind w:left="0" w:leftChars="0" w:firstLine="639" w:firstLineChars="213"/>
        <w:jc w:val="left"/>
        <w:textAlignment w:val="auto"/>
        <w:rPr>
          <w:rStyle w:val="11"/>
          <w:rFonts w:hint="eastAsia" w:ascii="仿宋" w:hAnsi="仿宋" w:eastAsia="仿宋" w:cs="仿宋"/>
          <w:color w:val="AB1942"/>
          <w:sz w:val="30"/>
          <w:szCs w:val="30"/>
        </w:rPr>
      </w:pPr>
      <w:r>
        <w:rPr>
          <w:rFonts w:hint="eastAsia" w:ascii="仿宋" w:hAnsi="仿宋" w:eastAsia="仿宋" w:cs="仿宋"/>
          <w:color w:val="3F3F3F"/>
          <w:sz w:val="30"/>
          <w:szCs w:val="30"/>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12月21日，教育部党组书记、部长怀进鹏在《人民日报》</w:t>
      </w:r>
      <w:r>
        <w:rPr>
          <w:rFonts w:hint="eastAsia" w:ascii="仿宋" w:hAnsi="仿宋" w:eastAsia="仿宋" w:cs="仿宋"/>
          <w:sz w:val="30"/>
          <w:szCs w:val="30"/>
          <w:lang w:eastAsia="zh-CN"/>
        </w:rPr>
        <w:t>“</w:t>
      </w:r>
      <w:r>
        <w:rPr>
          <w:rFonts w:hint="eastAsia" w:ascii="仿宋" w:hAnsi="仿宋" w:eastAsia="仿宋" w:cs="仿宋"/>
          <w:sz w:val="30"/>
          <w:szCs w:val="30"/>
        </w:rPr>
        <w:t>认真学习宣传贯彻党的二十大精神</w:t>
      </w:r>
      <w:r>
        <w:rPr>
          <w:rFonts w:hint="eastAsia" w:ascii="仿宋" w:hAnsi="仿宋" w:eastAsia="仿宋" w:cs="仿宋"/>
          <w:sz w:val="30"/>
          <w:szCs w:val="30"/>
          <w:lang w:eastAsia="zh-CN"/>
        </w:rPr>
        <w:t>”</w:t>
      </w:r>
      <w:r>
        <w:rPr>
          <w:rFonts w:hint="eastAsia" w:ascii="仿宋" w:hAnsi="仿宋" w:eastAsia="仿宋" w:cs="仿宋"/>
          <w:sz w:val="30"/>
          <w:szCs w:val="30"/>
        </w:rPr>
        <w:t>专栏撰文《加快建设教育强国》</w:t>
      </w:r>
      <w:r>
        <w:rPr>
          <w:rFonts w:hint="eastAsia" w:ascii="仿宋" w:hAnsi="仿宋" w:eastAsia="仿宋" w:cs="仿宋"/>
          <w:sz w:val="30"/>
          <w:szCs w:val="30"/>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加快建设教育强国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仿宋" w:hAnsi="仿宋" w:eastAsia="仿宋" w:cs="仿宋"/>
          <w:sz w:val="30"/>
          <w:szCs w:val="30"/>
        </w:rPr>
      </w:pPr>
      <w:r>
        <w:rPr>
          <w:rFonts w:hint="eastAsia" w:ascii="仿宋" w:hAnsi="仿宋" w:eastAsia="仿宋" w:cs="仿宋"/>
          <w:sz w:val="30"/>
          <w:szCs w:val="30"/>
        </w:rPr>
        <w:t>怀进鹏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39" w:firstLineChars="213"/>
        <w:jc w:val="left"/>
        <w:textAlignment w:val="auto"/>
        <w:rPr>
          <w:rFonts w:hint="eastAsia" w:ascii="仿宋" w:hAnsi="仿宋" w:eastAsia="仿宋" w:cs="仿宋"/>
          <w:sz w:val="30"/>
          <w:szCs w:val="30"/>
        </w:rPr>
      </w:pPr>
      <w:r>
        <w:rPr>
          <w:rFonts w:hint="eastAsia" w:ascii="仿宋" w:hAnsi="仿宋" w:eastAsia="仿宋" w:cs="仿宋"/>
          <w:sz w:val="30"/>
          <w:szCs w:val="30"/>
        </w:rPr>
        <w:t>教育是国之大计、党之大计。习近平总书记所作的党的二十大报告首次将“实施科教兴国战略，强化现代化建设人才支撑”作为一个单独部分，充分体现了教育的基础性、战略性地位和作用，并对“加快建设教育强国、科技强国、人才强国”作出全面而系统的部署，为到2035年建成教育强国指明了新的前进方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sz w:val="30"/>
          <w:szCs w:val="30"/>
        </w:rPr>
        <w:t>新时代加快建设教育强国的重大战略意义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党的十八大以来，以习近平同志为核心的党中央对新时代党和国家事业发展作出科学完整的战略部署，作出“建设教育强国是中华民族伟大复兴的基础工程”的重大论断和决策，坚持教育在社会主义现代化建设中的优先发展地位，党的二十大报告再次强调教育强国建设并提出新的更高要求，意义重大而深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（一）加快建设教育强国，是全面建设社会主义现代化国家的必然要求。</w:t>
      </w:r>
      <w:r>
        <w:rPr>
          <w:rFonts w:hint="eastAsia" w:ascii="仿宋" w:hAnsi="仿宋" w:eastAsia="仿宋" w:cs="仿宋"/>
          <w:sz w:val="30"/>
          <w:szCs w:val="30"/>
        </w:rPr>
        <w:t>改革开放以来特别是党的十八大以来的实践表明，全面建设社会主义现代化国家，科技是关键，人才是基础，教育是根本。以习近平同志为核心的党中央在统筹推进“五位一体”总体布局、协调推进“四个全面”战略布局的进程中，始终高度重视对教育、科技、人才事业发展的战略引领。党的二十大报告明确提出：“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对“坚持教育优先发展、科技自立自强、人才引领驱动，加快建设教育强国、科技强国、人才强国”进行整体谋划，并将“建成教育强国、科技强国、人才强国”纳入2035年我国发展的总体目标。这一承前启后、继往开来的重大部署，充分体现了马克思主义中国化时代化的探索与创新，对于我们党领导人民共同应对百年变局，齐心协力战胜前进路上风险困难，充分彰显和发挥教育的基础性、先导性、全局性地位和作用，坚定不移向着实现第二个百年奋斗目标和中华民族伟大复兴中国梦奋勇前进，具有非常重要的战略指导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（二）加快建设教育强国，是顺应广大人民群众对更好教育期盼的重要途径。</w:t>
      </w:r>
      <w:r>
        <w:rPr>
          <w:rFonts w:hint="eastAsia" w:ascii="仿宋" w:hAnsi="仿宋" w:eastAsia="仿宋" w:cs="仿宋"/>
          <w:sz w:val="30"/>
          <w:szCs w:val="30"/>
        </w:rPr>
        <w:t>中国共产党成立以来，始终把为中国人民谋幸福、为中华民族谋复兴作为自己的初心使命，团结带领全国各族人民披荆斩棘、砥砺前行，中华民族迎来了从站起来、富起来到强起来的伟大飞跃。党的十八大以来，中国特色社会主义进入新时代，习近平总书记深刻指出：“中国将坚定实施科教兴国战略，始终把教育摆在优先发展的战略位置，不断扩大投入，努力发展全民教育、终身教育，建设学习型社会，努力让每个孩子享有受教育的机会，努力让13亿人民享有更好更公平的教育，获得发展自身、奉献社会、造福人民的能力。”并强调“加快推进教育现代化、建设教育强国、办好人民满意的教育，努力培养担当民族复兴大任的时代新人，培养德智体美劳全面发展的社会主义建设者和接班人”。习近平总书记的重要论述，是党和国家教育决策的重要遵循，集中体现了坚持人民至上、把实现人民对美好生活向往作为奋斗目标的重要理念。我们党坚持以人民为中心的发展思想，维护人民根本利益，不断增进民生福祉，努力办好人民满意的教育，中国特色社会主义教育制度体系的主体框架基本确立，教育面貌正在发生格局性变化，人民群众对教育改革发展的获得感持续增强。踏上实现第二个百年奋斗目标新的赶考之路，党的二十大报告突出强调加快建设教育强国，进一步彰显了中国特色社会主义教育制度的优越性，必将有力解决教育发展不平衡不充分的问题，使教育同人民群众期待更加契合，在更高水平上满足人民群众对教育的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sz w:val="30"/>
          <w:szCs w:val="30"/>
        </w:rPr>
        <w:t>新时代加快建设教育强国的坚实基础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教育是民族振兴、社会进步的重要基石，是功在当代、利在千秋的德政工程。新中国成立以来特别是改革开放以来，党和人民教育事业取得了举世瞩目的辉煌成就。党的十八大以来，以习近平同志为核心的党中央明确教育是国之大计、党之大计，召开全国教育大会，出台规划，推动教育事业取得历史性成就、发生历史性变革，为加快建设教育强国打下了坚实的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（一）教育普及水平全方位提高。</w:t>
      </w:r>
      <w:r>
        <w:rPr>
          <w:rFonts w:hint="eastAsia" w:ascii="仿宋" w:hAnsi="仿宋" w:eastAsia="仿宋" w:cs="仿宋"/>
          <w:sz w:val="30"/>
          <w:szCs w:val="30"/>
        </w:rPr>
        <w:t>党的二十大报告指出，10年来，“建成世界上规模最大的教育体系”“教育普及水平实现历史性跨越”，这是对新时代我们党在“幼有所育、学有所教”上持续推进取得新成就的高度概括。2021年，我国九年义务教育巩固率达到95.4%，学前教育毛入园率和高中阶段教育毛入学率分别达到88.1%、91.4%，高等教育毛入学率达到57.8%。目前，我国教育普及程度总体上稳居全球中上收入国家行列，其中，义务教育和学前教育的普及程度达到高收入国家平均水平，高等教育进入国际社会公认的普及化阶段，劳动年龄人口的平均受教育年限达10.9年，每年全国高等学校和职业院校输送数以千万计毕业生，继续教育为各行各业培训上亿人次，为如期全面建成小康社会提供了重要支撑，拓展了加快建设教育强国之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（二）教育事业中国特色更加鲜明。</w:t>
      </w:r>
      <w:r>
        <w:rPr>
          <w:rFonts w:hint="eastAsia" w:ascii="仿宋" w:hAnsi="仿宋" w:eastAsia="仿宋" w:cs="仿宋"/>
          <w:sz w:val="30"/>
          <w:szCs w:val="30"/>
        </w:rPr>
        <w:t>中华民族是伟大的民族，创造了绵延5000多年的灿烂文明，尊师重傅、倡教兴学的优良传统深深融入世代传承的文化血脉之中，为源远流长的中华文明注入了持久的磅礴动力。在中国共产党领导人民成功走出中国式现代化道路、创造人类文明新形态的进程中，我国教育现代化越来越焕发出蓬勃生机，教育强国建设更加呈现鲜明的中国特色。党的十八大以来，以习近平同志为核心的党中央提出“德智体美劳”的总体要求，创造性地发展了党的教育方针，坚定社会主义办学方向，健全立德树人落实机制，扎根中国大地办教育，广大师生展现出昂扬向上的精神风貌和听党话跟党走的坚定决心，中国特色社会主义教育发展道路越走越宽广。党全面加强对教育工作的领导，深化教育领域综合改革、提高教育治理能力迈上新台阶，在发展素质教育、弘扬社会主义核心价值观、改革考试招生制度、提高基础教育质量、增强职业技术教育适应性、建设世界一流大学和一流学科、提升教师能力素质等方面取得新进展，推动国民思想道德素质、科学文化素质和身心健康素质进一步提高，为建设中国特色、世界水平的教育强国做好了充分准备，为全球教育贡献了中国智慧和中国方案，助力构建人类命运共同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（三）教育发展实力和服务能力迅速增强。</w:t>
      </w:r>
      <w:r>
        <w:rPr>
          <w:rFonts w:hint="eastAsia" w:ascii="仿宋" w:hAnsi="仿宋" w:eastAsia="仿宋" w:cs="仿宋"/>
          <w:sz w:val="30"/>
          <w:szCs w:val="30"/>
        </w:rPr>
        <w:t>随着新时代科教兴国战略、人才强国战略深入实施，教育优先发展地位有效落实，国家财政性教育经费投入占国内生产总值比例连续保持在4%以上，教育成为财政一般公共预算第一大支出，一批重大教育工程顺利实施，极大改善了办学条件，学生资助政策体系实现全覆盖并日益健全，教育系统全力支持打赢脱贫攻坚战。尤其是抗击新冠肺炎疫情，成功实施世界上最大规模在线教学，所有大中小学从停课不停学不停教到复课复学，充分展现了中国特色社会主义制度优势。在全国基础研究和重大科研任务、国家重点实验室建设、国家级三大科技奖励项目中，高校参与比重和贡献份额均超过60%，80%以上的国家自然科学基金项目和90%以上的国家社会科学基金项目由高校承担，高校积极参与破解大批关键核心技术“卡脖子”问题，成为国家自主创新生力军。当前，更全方位、更多层次、更宽领域、更加主动的教育国际交流与合作新格局正加快形成，我国与188个国家和地区、40多个重要国际组织建立教育合作交流关系，教育国际影响力持续提升。10年来，一大批基层改革创新的经验做法不断涌现，一些长期制约教育事业发展的体制机制障碍得到破解，教育生态持续向好，引领教风学风持续改善，赢得人民群众的更多理解和支持，全社会尊师重教氛围更加浓厚。教育系统自身实力的持续增强、服务经济社会发展能力的不断提升，必将在加快建设教育强国的征途上发挥出更大优势，也将为今后科技强国、人才强国及其他强国目标的实现提供重要的支撑、作出更多实质性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sz w:val="30"/>
          <w:szCs w:val="30"/>
        </w:rPr>
        <w:t>新时代加快建设教育强国的总体方向和重点任务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39" w:firstLineChars="213"/>
        <w:textAlignment w:val="auto"/>
        <w:rPr>
          <w:rFonts w:hint="eastAsia" w:ascii="仿宋" w:hAnsi="仿宋" w:eastAsia="仿宋" w:cs="仿宋"/>
          <w:sz w:val="30"/>
          <w:szCs w:val="30"/>
        </w:rPr>
      </w:pPr>
      <w:r>
        <w:rPr>
          <w:rFonts w:hint="eastAsia" w:ascii="仿宋" w:hAnsi="仿宋" w:eastAsia="仿宋" w:cs="仿宋"/>
          <w:sz w:val="30"/>
          <w:szCs w:val="30"/>
        </w:rPr>
        <w:t>综观新时代我国教育事业取得的历史性成就、发生的历史性变革，其原因归根结底在于以习近平同志为核心的党中央的统筹谋划，在于习近平新时代中国特色社会主义思想的科学指引，在于社会各界的大力支持和共同努力，在于广大教育工作者一心向党、奋进拼搏。党的二十大报告向全党全社会发出新的动员令，对“分两步走”全面建成社会主义现代化强国的远景目标作出新的擘画，对全面建设社会主义现代化国家开局起步关键时期的未来5年目标任务和重要举措进行新的部署，着眼实施科教兴国战略、强化现代化建设人才支撑，立足办好人民满意教育的大局，对加快建设教育强国的总体方向和重点任务提出新的更高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（一）全面贯彻党的教育方针，把坚持为党育人、为国育才落到实处。</w:t>
      </w:r>
      <w:r>
        <w:rPr>
          <w:rFonts w:hint="eastAsia" w:ascii="仿宋" w:hAnsi="仿宋" w:eastAsia="仿宋" w:cs="仿宋"/>
          <w:sz w:val="30"/>
          <w:szCs w:val="30"/>
        </w:rPr>
        <w:t>习近平总书记在党的二十大报告中强调：“培养什么人、怎样培养人、为谁培养人是教育的根本问题。育人的根本在于立德。全面贯彻党的教育方针，落实立德树人根本任务，培养德智体美劳全面发展的社会主义建设者和接班人。”习近平总书记这些重要论述，立足基本国情，遵循教育规律，是马克思主义中国化在教育领域的最新发展，作为党的二十大报告的新部署新要求，具有统领性、引领性的重要意义。教育系统在贯彻落实过程中，必须深刻领悟“两个确立”的决定性意义，增强“四个意识”、坚定“四个自信”、做到“两个维护”，持续完善党对教育工作的全面领导、德智体美劳全面发展、全员育人全过程育人全方位育人体制机制。坚持用习近平新时代中国特色社会主义思想铸魂育人，推进大中小学思想政治教育一体化建设，将社会主义核心价值观融入教育全过程，着力培养担当民族复兴大任的时代新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（二）坚持以人民为中心发展教育，加快建设高质量教育体系，发展素质教育，促进教育公平。</w:t>
      </w:r>
      <w:r>
        <w:rPr>
          <w:rFonts w:hint="eastAsia" w:ascii="仿宋" w:hAnsi="仿宋" w:eastAsia="仿宋" w:cs="仿宋"/>
          <w:sz w:val="30"/>
          <w:szCs w:val="30"/>
        </w:rPr>
        <w:t>锚定2035年基本公共服务实现均等化的宏伟目标，必须坚持教育公益性原则，把教育公平作为国家基本教育政策，形成政府主导、覆盖城乡、可持续的基本公共教育服务体系，依法保障财政性教育经费拨付使用到位，优化区域教育资源配置，不断缩小城乡、区域、校际、群体间教育差距。重点是加快义务教育优质均衡发展和城乡一体化，强化学前教育、特殊教育普惠发展，坚持高中阶段学校多样化发展，完善覆盖全学段学生资助体系，开创基础教育高质量发展新局面，为逐步实现全体人民共同富裕打下更好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（三）教育强国、科技强国、人才强国建设相互支持配合，共同聚焦贯彻新发展理念、构建新发展格局。</w:t>
      </w:r>
      <w:r>
        <w:rPr>
          <w:rFonts w:hint="eastAsia" w:ascii="仿宋" w:hAnsi="仿宋" w:eastAsia="仿宋" w:cs="仿宋"/>
          <w:sz w:val="30"/>
          <w:szCs w:val="30"/>
        </w:rPr>
        <w:t>全面提高人才自主培养质量，着力造就拔尖创新人才，聚天下英才而用之，是教育、科技、人才强国建设协调推进的共同任务。围绕人力资源深度开发和创新驱动发展，加快建设世界重要人才中心和创新高地，重点是统筹职业教育、高等教育、继续教育协同创新，推进职普融通、产教融合、科教融汇，优化职业教育类型定位。坚持高等教育内涵式发展，加强基础学科、新兴学科、交叉学科建设，加快建设中国特色、世界一流的大学和优势学科。优化国家科研机构、高水平研究型大学、科技领军企业定位和布局，加强企业主导的产学研深度融合，尽快形成与国家发展战略、生产力布局和城镇化要求相适应的多层次、多样化教育发展新高地，更好服务和融入新发展格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（四）深化教育领域综合改革，增强教育改革的系统性、整体性、协同性，为教育强国建设激活力、增动力。</w:t>
      </w:r>
      <w:r>
        <w:rPr>
          <w:rFonts w:hint="eastAsia" w:ascii="仿宋" w:hAnsi="仿宋" w:eastAsia="仿宋" w:cs="仿宋"/>
          <w:sz w:val="30"/>
          <w:szCs w:val="30"/>
        </w:rPr>
        <w:t>建设教育强国，必须继续破解深层次体制机制障碍，不断把制度优势更好转化为治理效能。重点是加强教材建设和管理，全面落实教材建设国家事权，完善学校管理和教育评价体系，健全学校家庭社会育人机制，更加重视儿童青少年的体育、美育、劳动教育、心理健康教育。加强师德师风建设，培养高素质教师队伍，不断提高广大教师的思想政治素质和业务水平，把乡村教师队伍建设摆在重要位置，弘扬尊师重教社会风尚。全面推进依法治教、依法治校、依法办学，引导规范民办教育发展。加大国家通用语言文字推广力度，深入开展铸牢中华民族共同体意识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leftChars="0" w:right="0" w:firstLine="641" w:firstLineChars="213"/>
        <w:textAlignment w:val="auto"/>
        <w:rPr>
          <w:rFonts w:hint="eastAsia" w:ascii="仿宋" w:hAnsi="仿宋" w:eastAsia="仿宋" w:cs="仿宋"/>
          <w:sz w:val="30"/>
          <w:szCs w:val="30"/>
        </w:rPr>
      </w:pPr>
      <w:r>
        <w:rPr>
          <w:rStyle w:val="11"/>
          <w:rFonts w:hint="eastAsia" w:ascii="仿宋" w:hAnsi="仿宋" w:eastAsia="仿宋" w:cs="仿宋"/>
          <w:color w:val="C33C3C"/>
          <w:sz w:val="30"/>
          <w:szCs w:val="30"/>
        </w:rPr>
        <w:t>（五）推进教育数字化，建设全民终身学习的学习型社会、学习型大国。</w:t>
      </w:r>
      <w:r>
        <w:rPr>
          <w:rFonts w:hint="eastAsia" w:ascii="仿宋" w:hAnsi="仿宋" w:eastAsia="仿宋" w:cs="仿宋"/>
          <w:sz w:val="30"/>
          <w:szCs w:val="30"/>
        </w:rPr>
        <w:t>根据党的二十大报告关于加快建设数字中国的系列部署，教育系统将积极深入实施教育数字化战略行动，将国家智慧教育平台打造成教育领域重要的公共服务产品，不断推动教育变革和创新，构建网络化、数字化、个性化、终身化的教育体系，加强部门地区政策协调，促进学校社会资源共享，形成方式更加灵活、资源更加丰富、学习更加便捷的全民终身学习推进机制，扎根中国大地，建设人人皆学、处处能学、时时可学的学习型社会、学习型大国，奋力谱写新时代教育强国建设的新篇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420"/>
        <w:textAlignment w:val="auto"/>
        <w:rPr>
          <w:rFonts w:hint="eastAsia" w:ascii="仿宋" w:hAnsi="仿宋" w:eastAsia="仿宋" w:cs="仿宋"/>
          <w:sz w:val="30"/>
          <w:szCs w:val="30"/>
          <w:shd w:val="clear" w:fill="FFFFFF"/>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right="0"/>
        <w:textAlignment w:val="auto"/>
        <w:rPr>
          <w:rFonts w:hint="eastAsia" w:ascii="仿宋" w:hAnsi="仿宋" w:eastAsia="仿宋" w:cs="仿宋"/>
          <w:sz w:val="30"/>
          <w:szCs w:val="30"/>
          <w:shd w:val="clear" w:fill="FFFFFF"/>
          <w:lang w:val="en-US" w:eastAsia="zh-CN"/>
        </w:rPr>
      </w:pPr>
      <w:bookmarkStart w:id="4" w:name="_GoBack"/>
      <w:bookmarkEnd w:id="4"/>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MmUzNWI4OWZmZWU1NjBmYzM3ZjIxZjYwNTYwOGEifQ=="/>
  </w:docVars>
  <w:rsids>
    <w:rsidRoot w:val="00BB6EF3"/>
    <w:rsid w:val="002415CC"/>
    <w:rsid w:val="002578E7"/>
    <w:rsid w:val="00282716"/>
    <w:rsid w:val="003A0794"/>
    <w:rsid w:val="003D5C9D"/>
    <w:rsid w:val="00407DFE"/>
    <w:rsid w:val="004F01F6"/>
    <w:rsid w:val="006E55E0"/>
    <w:rsid w:val="00A230A2"/>
    <w:rsid w:val="00A84594"/>
    <w:rsid w:val="00AB5DBE"/>
    <w:rsid w:val="00BB6EF3"/>
    <w:rsid w:val="00BE65D5"/>
    <w:rsid w:val="00E066FD"/>
    <w:rsid w:val="02711862"/>
    <w:rsid w:val="03896796"/>
    <w:rsid w:val="04EE11A0"/>
    <w:rsid w:val="08987BCF"/>
    <w:rsid w:val="0A8F250D"/>
    <w:rsid w:val="0CB74F14"/>
    <w:rsid w:val="0DDF7F0F"/>
    <w:rsid w:val="112F78F5"/>
    <w:rsid w:val="159E4F57"/>
    <w:rsid w:val="16664F0B"/>
    <w:rsid w:val="16A508EC"/>
    <w:rsid w:val="193C0666"/>
    <w:rsid w:val="19A014FC"/>
    <w:rsid w:val="1AB55230"/>
    <w:rsid w:val="1B580B29"/>
    <w:rsid w:val="1C712284"/>
    <w:rsid w:val="1E9366C3"/>
    <w:rsid w:val="1EC107A0"/>
    <w:rsid w:val="200707C0"/>
    <w:rsid w:val="202460D5"/>
    <w:rsid w:val="20B05F0B"/>
    <w:rsid w:val="22E13B9F"/>
    <w:rsid w:val="24C9264A"/>
    <w:rsid w:val="27336584"/>
    <w:rsid w:val="2B661505"/>
    <w:rsid w:val="347F6A0B"/>
    <w:rsid w:val="35B04BF9"/>
    <w:rsid w:val="37182449"/>
    <w:rsid w:val="3B9E41DA"/>
    <w:rsid w:val="3BB23479"/>
    <w:rsid w:val="3CC034B8"/>
    <w:rsid w:val="3FF55553"/>
    <w:rsid w:val="40B553AA"/>
    <w:rsid w:val="40E712CE"/>
    <w:rsid w:val="42E81CF7"/>
    <w:rsid w:val="455D1A40"/>
    <w:rsid w:val="47EC202F"/>
    <w:rsid w:val="4BA821A3"/>
    <w:rsid w:val="4BFA22D2"/>
    <w:rsid w:val="4CBA3FDD"/>
    <w:rsid w:val="4D1B6B91"/>
    <w:rsid w:val="4DAC581E"/>
    <w:rsid w:val="4EF1754D"/>
    <w:rsid w:val="4F053BBF"/>
    <w:rsid w:val="4F7C1EB2"/>
    <w:rsid w:val="4F893200"/>
    <w:rsid w:val="52531823"/>
    <w:rsid w:val="54A31759"/>
    <w:rsid w:val="54C316A7"/>
    <w:rsid w:val="57B440D1"/>
    <w:rsid w:val="5822570E"/>
    <w:rsid w:val="594D692D"/>
    <w:rsid w:val="59A4194C"/>
    <w:rsid w:val="5A155D68"/>
    <w:rsid w:val="5BFC0F76"/>
    <w:rsid w:val="5E4E7034"/>
    <w:rsid w:val="5E995E67"/>
    <w:rsid w:val="607336E2"/>
    <w:rsid w:val="60956B25"/>
    <w:rsid w:val="61CB3D52"/>
    <w:rsid w:val="61E8102E"/>
    <w:rsid w:val="68F6216C"/>
    <w:rsid w:val="69621182"/>
    <w:rsid w:val="6A060537"/>
    <w:rsid w:val="6B2A237B"/>
    <w:rsid w:val="6CA71D39"/>
    <w:rsid w:val="6DF64B98"/>
    <w:rsid w:val="6E046B86"/>
    <w:rsid w:val="71B179CD"/>
    <w:rsid w:val="74DF3598"/>
    <w:rsid w:val="75203F58"/>
    <w:rsid w:val="762F1526"/>
    <w:rsid w:val="76DF543D"/>
    <w:rsid w:val="76F8510C"/>
    <w:rsid w:val="774C0BAB"/>
    <w:rsid w:val="77851B5A"/>
    <w:rsid w:val="77C83101"/>
    <w:rsid w:val="784D58CB"/>
    <w:rsid w:val="785318AA"/>
    <w:rsid w:val="799A0AA4"/>
    <w:rsid w:val="7D174FB1"/>
    <w:rsid w:val="7FB9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005C81"/>
      <w:u w:val="none"/>
    </w:rPr>
  </w:style>
  <w:style w:type="character" w:styleId="13">
    <w:name w:val="Emphasis"/>
    <w:basedOn w:val="10"/>
    <w:qFormat/>
    <w:uiPriority w:val="0"/>
  </w:style>
  <w:style w:type="character" w:styleId="14">
    <w:name w:val="Hyperlink"/>
    <w:basedOn w:val="10"/>
    <w:unhideWhenUsed/>
    <w:qFormat/>
    <w:uiPriority w:val="99"/>
    <w:rPr>
      <w:color w:val="0563C1" w:themeColor="hyperlink"/>
      <w:u w:val="single"/>
      <w14:textFill>
        <w14:solidFill>
          <w14:schemeClr w14:val="hlink"/>
        </w14:solidFill>
      </w14:textFill>
    </w:rPr>
  </w:style>
  <w:style w:type="character" w:customStyle="1" w:styleId="15">
    <w:name w:val="标题 1 字符"/>
    <w:basedOn w:val="10"/>
    <w:link w:val="2"/>
    <w:qFormat/>
    <w:uiPriority w:val="0"/>
    <w:rPr>
      <w:rFonts w:asciiTheme="minorHAnsi" w:hAnsiTheme="minorHAnsi" w:eastAsiaTheme="minorEastAsia" w:cstheme="minorBidi"/>
      <w:b/>
      <w:bCs/>
      <w:kern w:val="44"/>
      <w:sz w:val="44"/>
      <w:szCs w:val="44"/>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CBA4DE-7F73-40B1-ADD8-A1C074E599E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50</Pages>
  <Words>24609</Words>
  <Characters>24671</Characters>
  <Lines>157</Lines>
  <Paragraphs>44</Paragraphs>
  <TotalTime>2</TotalTime>
  <ScaleCrop>false</ScaleCrop>
  <LinksUpToDate>false</LinksUpToDate>
  <CharactersWithSpaces>24809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DHQ</dc:creator>
  <cp:lastModifiedBy>邱政</cp:lastModifiedBy>
  <cp:lastPrinted>2022-09-02T06:16:00Z</cp:lastPrinted>
  <dcterms:modified xsi:type="dcterms:W3CDTF">2023-02-24T02:50:04Z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A934D8DDF0A042A59C0B5220CB94575E</vt:lpwstr>
  </property>
</Properties>
</file>