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hint="eastAsia" w:ascii="方正小标宋简体" w:hAnsi="方正小标宋简体" w:eastAsia="方正小标宋简体" w:cs="方正小标宋简体"/>
          <w:b/>
          <w:color w:val="FF0000"/>
          <w:spacing w:val="20"/>
          <w:sz w:val="96"/>
          <w:szCs w:val="96"/>
        </w:rPr>
      </w:pPr>
      <w:r>
        <w:rPr>
          <w:rFonts w:hint="eastAsia" w:ascii="方正小标宋简体" w:hAnsi="方正小标宋简体" w:eastAsia="方正小标宋简体" w:cs="方正小标宋简体"/>
          <w:b/>
          <w:color w:val="FF0000"/>
          <w:spacing w:val="20"/>
          <w:sz w:val="96"/>
          <w:szCs w:val="96"/>
          <w:lang w:eastAsia="zh-CN"/>
        </w:rPr>
        <w:t>教职工政治</w:t>
      </w:r>
      <w:r>
        <w:rPr>
          <w:rFonts w:hint="eastAsia" w:ascii="方正小标宋简体" w:hAnsi="方正小标宋简体" w:eastAsia="方正小标宋简体" w:cs="方正小标宋简体"/>
          <w:b/>
          <w:color w:val="FF0000"/>
          <w:spacing w:val="20"/>
          <w:sz w:val="96"/>
          <w:szCs w:val="96"/>
        </w:rPr>
        <w:t>学习</w:t>
      </w:r>
    </w:p>
    <w:p>
      <w:pPr>
        <w:spacing w:before="156" w:beforeLines="50"/>
        <w:jc w:val="center"/>
        <w:rPr>
          <w:rFonts w:ascii="方正小标宋简体" w:hAnsi="方正小标宋简体" w:eastAsia="方正小标宋简体" w:cs="方正小标宋简体"/>
          <w:b/>
          <w:color w:val="FF0000"/>
          <w:sz w:val="96"/>
          <w:szCs w:val="96"/>
        </w:rPr>
      </w:pPr>
      <w:r>
        <w:rPr>
          <w:rFonts w:hint="eastAsia" w:ascii="方正小标宋简体" w:hAnsi="方正小标宋简体" w:eastAsia="方正小标宋简体" w:cs="方正小标宋简体"/>
          <w:b/>
          <w:color w:val="FF0000"/>
          <w:sz w:val="96"/>
          <w:szCs w:val="96"/>
        </w:rPr>
        <w:t>参</w:t>
      </w:r>
      <w:r>
        <w:rPr>
          <w:rFonts w:hint="eastAsia" w:ascii="方正小标宋简体" w:hAnsi="方正小标宋简体" w:eastAsia="方正小标宋简体" w:cs="方正小标宋简体"/>
          <w:b/>
          <w:color w:val="FF0000"/>
          <w:sz w:val="96"/>
          <w:szCs w:val="96"/>
          <w:lang w:val="en-US" w:eastAsia="zh-CN"/>
        </w:rPr>
        <w:t xml:space="preserve"> </w:t>
      </w:r>
      <w:r>
        <w:rPr>
          <w:rFonts w:hint="eastAsia" w:ascii="方正小标宋简体" w:hAnsi="方正小标宋简体" w:eastAsia="方正小标宋简体" w:cs="方正小标宋简体"/>
          <w:b/>
          <w:color w:val="FF0000"/>
          <w:sz w:val="96"/>
          <w:szCs w:val="96"/>
        </w:rPr>
        <w:t>考</w:t>
      </w:r>
      <w:r>
        <w:rPr>
          <w:rFonts w:hint="eastAsia" w:ascii="方正小标宋简体" w:hAnsi="方正小标宋简体" w:eastAsia="方正小标宋简体" w:cs="方正小标宋简体"/>
          <w:b/>
          <w:color w:val="FF0000"/>
          <w:sz w:val="96"/>
          <w:szCs w:val="96"/>
          <w:lang w:val="en-US" w:eastAsia="zh-CN"/>
        </w:rPr>
        <w:t xml:space="preserve"> </w:t>
      </w:r>
      <w:r>
        <w:rPr>
          <w:rFonts w:hint="eastAsia" w:ascii="方正小标宋简体" w:hAnsi="方正小标宋简体" w:eastAsia="方正小标宋简体" w:cs="方正小标宋简体"/>
          <w:b/>
          <w:color w:val="FF0000"/>
          <w:sz w:val="96"/>
          <w:szCs w:val="96"/>
        </w:rPr>
        <w:t>资</w:t>
      </w:r>
      <w:r>
        <w:rPr>
          <w:rFonts w:hint="eastAsia" w:ascii="方正小标宋简体" w:hAnsi="方正小标宋简体" w:eastAsia="方正小标宋简体" w:cs="方正小标宋简体"/>
          <w:b/>
          <w:color w:val="FF0000"/>
          <w:sz w:val="96"/>
          <w:szCs w:val="96"/>
          <w:lang w:val="en-US" w:eastAsia="zh-CN"/>
        </w:rPr>
        <w:t xml:space="preserve"> </w:t>
      </w:r>
      <w:r>
        <w:rPr>
          <w:rFonts w:hint="eastAsia" w:ascii="方正小标宋简体" w:hAnsi="方正小标宋简体" w:eastAsia="方正小标宋简体" w:cs="方正小标宋简体"/>
          <w:b/>
          <w:color w:val="FF0000"/>
          <w:sz w:val="96"/>
          <w:szCs w:val="96"/>
        </w:rPr>
        <w:t>料</w:t>
      </w:r>
    </w:p>
    <w:p>
      <w:pPr>
        <w:spacing w:before="156" w:beforeLines="50"/>
        <w:jc w:val="center"/>
        <w:rPr>
          <w:rFonts w:hint="default" w:ascii="仿宋_GB2312" w:hAnsi="宋体" w:eastAsia="仿宋_GB2312" w:cs="Times New Roman"/>
          <w:b/>
          <w:sz w:val="32"/>
          <w:szCs w:val="32"/>
          <w:lang w:val="en-US" w:eastAsia="zh-CN"/>
        </w:rPr>
      </w:pPr>
      <w:r>
        <w:rPr>
          <w:rFonts w:hint="eastAsia" w:ascii="仿宋_GB2312" w:hAnsi="宋体" w:eastAsia="仿宋_GB2312" w:cs="Times New Roman"/>
          <w:b/>
          <w:sz w:val="32"/>
          <w:szCs w:val="32"/>
          <w:lang w:val="en-US" w:eastAsia="zh-CN"/>
        </w:rPr>
        <w:t>第14期</w:t>
      </w:r>
    </w:p>
    <w:p>
      <w:pPr>
        <w:spacing w:line="240" w:lineRule="atLeast"/>
        <w:rPr>
          <w:rFonts w:ascii="华文仿宋" w:hAnsi="华文仿宋" w:eastAsia="华文仿宋" w:cs="Times New Roman"/>
          <w:b/>
          <w:sz w:val="28"/>
          <w:szCs w:val="28"/>
        </w:rPr>
      </w:pPr>
      <w:r>
        <w:rPr>
          <w:rFonts w:hint="eastAsia" w:ascii="华文仿宋" w:hAnsi="华文仿宋" w:eastAsia="华文仿宋" w:cs="Times New Roman"/>
          <w:b/>
          <w:sz w:val="28"/>
          <w:szCs w:val="28"/>
        </w:rPr>
        <mc:AlternateContent>
          <mc:Choice Requires="wps">
            <w:drawing>
              <wp:anchor distT="0" distB="0" distL="114300" distR="114300" simplePos="0" relativeHeight="251659264" behindDoc="1" locked="0" layoutInCell="1" allowOverlap="1">
                <wp:simplePos x="0" y="0"/>
                <wp:positionH relativeFrom="column">
                  <wp:posOffset>-228600</wp:posOffset>
                </wp:positionH>
                <wp:positionV relativeFrom="paragraph">
                  <wp:posOffset>0</wp:posOffset>
                </wp:positionV>
                <wp:extent cx="6057900" cy="544830"/>
                <wp:effectExtent l="5080" t="4445" r="13970" b="22225"/>
                <wp:wrapNone/>
                <wp:docPr id="3" name="文本框 3"/>
                <wp:cNvGraphicFramePr/>
                <a:graphic xmlns:a="http://schemas.openxmlformats.org/drawingml/2006/main">
                  <a:graphicData uri="http://schemas.microsoft.com/office/word/2010/wordprocessingShape">
                    <wps:wsp>
                      <wps:cNvSpPr txBox="1"/>
                      <wps:spPr>
                        <a:xfrm>
                          <a:off x="0" y="0"/>
                          <a:ext cx="6057900" cy="544830"/>
                        </a:xfrm>
                        <a:prstGeom prst="rect">
                          <a:avLst/>
                        </a:prstGeom>
                        <a:solidFill>
                          <a:srgbClr val="FFFFFF">
                            <a:alpha val="0"/>
                          </a:srgbClr>
                        </a:solidFill>
                        <a:ln w="9525" cap="flat" cmpd="sng">
                          <a:solidFill>
                            <a:srgbClr val="FFFFFF"/>
                          </a:solidFill>
                          <a:prstDash val="solid"/>
                          <a:miter/>
                          <a:headEnd type="none" w="med" len="med"/>
                          <a:tailEnd type="none" w="med" len="med"/>
                        </a:ln>
                        <a:effectLst/>
                      </wps:spPr>
                      <wps:txbx>
                        <w:txbxContent>
                          <w:p>
                            <w:pPr>
                              <w:spacing w:before="156" w:beforeLines="50" w:line="240" w:lineRule="atLeast"/>
                              <w:ind w:firstLine="157" w:firstLineChars="49"/>
                              <w:rPr>
                                <w:rFonts w:ascii="Calibri" w:hAnsi="Calibri" w:eastAsia="宋体" w:cs="Times New Roman"/>
                              </w:rPr>
                            </w:pPr>
                            <w:r>
                              <w:rPr>
                                <w:rFonts w:hint="eastAsia" w:ascii="仿宋_GB2312" w:hAnsi="宋体" w:eastAsia="仿宋_GB2312" w:cs="Times New Roman"/>
                                <w:b/>
                                <w:color w:val="000000"/>
                                <w:sz w:val="32"/>
                                <w:szCs w:val="32"/>
                                <w:lang w:eastAsia="zh-CN"/>
                              </w:rPr>
                              <w:t>内江师范学院</w:t>
                            </w:r>
                            <w:r>
                              <w:rPr>
                                <w:rFonts w:hint="eastAsia" w:ascii="仿宋_GB2312" w:hAnsi="宋体" w:eastAsia="仿宋_GB2312" w:cs="Times New Roman"/>
                                <w:b/>
                                <w:color w:val="000000"/>
                                <w:sz w:val="32"/>
                                <w:szCs w:val="32"/>
                              </w:rPr>
                              <w:t>党委宣传部编</w:t>
                            </w:r>
                            <w:r>
                              <w:rPr>
                                <w:rFonts w:hint="eastAsia" w:ascii="宋体" w:hAnsi="宋体" w:eastAsia="宋体" w:cs="Times New Roman"/>
                                <w:b/>
                                <w:color w:val="000000"/>
                                <w:sz w:val="28"/>
                                <w:szCs w:val="28"/>
                              </w:rPr>
                              <w:t xml:space="preserve">                 </w:t>
                            </w:r>
                            <w:r>
                              <w:rPr>
                                <w:rFonts w:ascii="仿宋_GB2312" w:hAnsi="宋体" w:eastAsia="仿宋_GB2312" w:cs="Times New Roman"/>
                                <w:b/>
                                <w:color w:val="000000"/>
                                <w:sz w:val="32"/>
                                <w:szCs w:val="32"/>
                              </w:rPr>
                              <w:t>20</w:t>
                            </w:r>
                            <w:r>
                              <w:rPr>
                                <w:rFonts w:hint="eastAsia" w:ascii="仿宋_GB2312" w:hAnsi="宋体" w:eastAsia="仿宋_GB2312" w:cs="Times New Roman"/>
                                <w:b/>
                                <w:color w:val="000000"/>
                                <w:sz w:val="32"/>
                                <w:szCs w:val="32"/>
                              </w:rPr>
                              <w:t>2</w:t>
                            </w:r>
                            <w:r>
                              <w:rPr>
                                <w:rFonts w:hint="eastAsia" w:ascii="仿宋_GB2312" w:hAnsi="宋体" w:eastAsia="仿宋_GB2312" w:cs="Times New Roman"/>
                                <w:b/>
                                <w:color w:val="000000"/>
                                <w:sz w:val="32"/>
                                <w:szCs w:val="32"/>
                                <w:lang w:val="en-US" w:eastAsia="zh-CN"/>
                              </w:rPr>
                              <w:t>2</w:t>
                            </w:r>
                            <w:r>
                              <w:rPr>
                                <w:rFonts w:ascii="仿宋_GB2312" w:hAnsi="宋体" w:eastAsia="仿宋_GB2312" w:cs="Times New Roman"/>
                                <w:b/>
                                <w:color w:val="000000"/>
                                <w:sz w:val="32"/>
                                <w:szCs w:val="32"/>
                              </w:rPr>
                              <w:t>年</w:t>
                            </w:r>
                            <w:r>
                              <w:rPr>
                                <w:rFonts w:hint="eastAsia" w:ascii="仿宋_GB2312" w:hAnsi="宋体" w:eastAsia="仿宋_GB2312" w:cs="Times New Roman"/>
                                <w:b/>
                                <w:color w:val="000000"/>
                                <w:sz w:val="32"/>
                                <w:szCs w:val="32"/>
                                <w:lang w:val="en-US" w:eastAsia="zh-CN"/>
                              </w:rPr>
                              <w:t>11</w:t>
                            </w:r>
                            <w:r>
                              <w:rPr>
                                <w:rFonts w:hint="eastAsia" w:ascii="仿宋_GB2312" w:hAnsi="宋体" w:eastAsia="仿宋_GB2312" w:cs="Times New Roman"/>
                                <w:b/>
                                <w:color w:val="000000"/>
                                <w:sz w:val="32"/>
                                <w:szCs w:val="32"/>
                              </w:rPr>
                              <w:t>月</w:t>
                            </w:r>
                            <w:r>
                              <w:rPr>
                                <w:rFonts w:hint="eastAsia" w:ascii="仿宋_GB2312" w:hAnsi="宋体" w:eastAsia="仿宋_GB2312" w:cs="Times New Roman"/>
                                <w:b/>
                                <w:color w:val="000000"/>
                                <w:sz w:val="32"/>
                                <w:szCs w:val="32"/>
                                <w:lang w:val="en-US" w:eastAsia="zh-CN"/>
                              </w:rPr>
                              <w:t>28</w:t>
                            </w:r>
                            <w:r>
                              <w:rPr>
                                <w:rFonts w:hint="eastAsia" w:ascii="仿宋_GB2312" w:hAnsi="宋体" w:eastAsia="仿宋_GB2312" w:cs="Times New Roman"/>
                                <w:b/>
                                <w:color w:val="000000"/>
                                <w:sz w:val="32"/>
                                <w:szCs w:val="32"/>
                              </w:rPr>
                              <w:t>日</w:t>
                            </w:r>
                          </w:p>
                        </w:txbxContent>
                      </wps:txbx>
                      <wps:bodyPr upright="1"/>
                    </wps:wsp>
                  </a:graphicData>
                </a:graphic>
              </wp:anchor>
            </w:drawing>
          </mc:Choice>
          <mc:Fallback>
            <w:pict>
              <v:shape id="_x0000_s1026" o:spid="_x0000_s1026" o:spt="202" type="#_x0000_t202" style="position:absolute;left:0pt;margin-left:-18pt;margin-top:0pt;height:42.9pt;width:477pt;z-index:-251657216;mso-width-relative:page;mso-height-relative:page;" fillcolor="#FFFFFF" filled="t" stroked="t" coordsize="21600,21600" o:gfxdata="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kNLRdYAAAAH&#10;AQAADwAAAAAAAAABACAAAAAiAAAAZHJzL2Rvd25yZXYueG1sUEsBAhQAFAAAAAgAh07iQLAqjVse&#10;AgAAYQQAAA4AAAAAAAAAAQAgAAAAJQEAAGRycy9lMm9Eb2MueG1sUEsFBgAAAAAGAAYAWQEAALUF&#10;AAAAAA==&#10;">
                <v:fill on="t" opacity="0f" focussize="0,0"/>
                <v:stroke color="#FFFFFF" joinstyle="miter"/>
                <v:imagedata o:title=""/>
                <o:lock v:ext="edit" aspectratio="f"/>
                <v:textbox>
                  <w:txbxContent>
                    <w:p>
                      <w:pPr>
                        <w:spacing w:before="156" w:beforeLines="50" w:line="240" w:lineRule="atLeast"/>
                        <w:ind w:firstLine="157" w:firstLineChars="49"/>
                        <w:rPr>
                          <w:rFonts w:ascii="Calibri" w:hAnsi="Calibri" w:eastAsia="宋体" w:cs="Times New Roman"/>
                        </w:rPr>
                      </w:pPr>
                      <w:r>
                        <w:rPr>
                          <w:rFonts w:hint="eastAsia" w:ascii="仿宋_GB2312" w:hAnsi="宋体" w:eastAsia="仿宋_GB2312" w:cs="Times New Roman"/>
                          <w:b/>
                          <w:color w:val="000000"/>
                          <w:sz w:val="32"/>
                          <w:szCs w:val="32"/>
                          <w:lang w:eastAsia="zh-CN"/>
                        </w:rPr>
                        <w:t>内江师范学院</w:t>
                      </w:r>
                      <w:r>
                        <w:rPr>
                          <w:rFonts w:hint="eastAsia" w:ascii="仿宋_GB2312" w:hAnsi="宋体" w:eastAsia="仿宋_GB2312" w:cs="Times New Roman"/>
                          <w:b/>
                          <w:color w:val="000000"/>
                          <w:sz w:val="32"/>
                          <w:szCs w:val="32"/>
                        </w:rPr>
                        <w:t>党委宣传部编</w:t>
                      </w:r>
                      <w:r>
                        <w:rPr>
                          <w:rFonts w:hint="eastAsia" w:ascii="宋体" w:hAnsi="宋体" w:eastAsia="宋体" w:cs="Times New Roman"/>
                          <w:b/>
                          <w:color w:val="000000"/>
                          <w:sz w:val="28"/>
                          <w:szCs w:val="28"/>
                        </w:rPr>
                        <w:t xml:space="preserve">                 </w:t>
                      </w:r>
                      <w:r>
                        <w:rPr>
                          <w:rFonts w:ascii="仿宋_GB2312" w:hAnsi="宋体" w:eastAsia="仿宋_GB2312" w:cs="Times New Roman"/>
                          <w:b/>
                          <w:color w:val="000000"/>
                          <w:sz w:val="32"/>
                          <w:szCs w:val="32"/>
                        </w:rPr>
                        <w:t>20</w:t>
                      </w:r>
                      <w:r>
                        <w:rPr>
                          <w:rFonts w:hint="eastAsia" w:ascii="仿宋_GB2312" w:hAnsi="宋体" w:eastAsia="仿宋_GB2312" w:cs="Times New Roman"/>
                          <w:b/>
                          <w:color w:val="000000"/>
                          <w:sz w:val="32"/>
                          <w:szCs w:val="32"/>
                        </w:rPr>
                        <w:t>2</w:t>
                      </w:r>
                      <w:r>
                        <w:rPr>
                          <w:rFonts w:hint="eastAsia" w:ascii="仿宋_GB2312" w:hAnsi="宋体" w:eastAsia="仿宋_GB2312" w:cs="Times New Roman"/>
                          <w:b/>
                          <w:color w:val="000000"/>
                          <w:sz w:val="32"/>
                          <w:szCs w:val="32"/>
                          <w:lang w:val="en-US" w:eastAsia="zh-CN"/>
                        </w:rPr>
                        <w:t>2</w:t>
                      </w:r>
                      <w:r>
                        <w:rPr>
                          <w:rFonts w:ascii="仿宋_GB2312" w:hAnsi="宋体" w:eastAsia="仿宋_GB2312" w:cs="Times New Roman"/>
                          <w:b/>
                          <w:color w:val="000000"/>
                          <w:sz w:val="32"/>
                          <w:szCs w:val="32"/>
                        </w:rPr>
                        <w:t>年</w:t>
                      </w:r>
                      <w:r>
                        <w:rPr>
                          <w:rFonts w:hint="eastAsia" w:ascii="仿宋_GB2312" w:hAnsi="宋体" w:eastAsia="仿宋_GB2312" w:cs="Times New Roman"/>
                          <w:b/>
                          <w:color w:val="000000"/>
                          <w:sz w:val="32"/>
                          <w:szCs w:val="32"/>
                          <w:lang w:val="en-US" w:eastAsia="zh-CN"/>
                        </w:rPr>
                        <w:t>11</w:t>
                      </w:r>
                      <w:r>
                        <w:rPr>
                          <w:rFonts w:hint="eastAsia" w:ascii="仿宋_GB2312" w:hAnsi="宋体" w:eastAsia="仿宋_GB2312" w:cs="Times New Roman"/>
                          <w:b/>
                          <w:color w:val="000000"/>
                          <w:sz w:val="32"/>
                          <w:szCs w:val="32"/>
                        </w:rPr>
                        <w:t>月</w:t>
                      </w:r>
                      <w:r>
                        <w:rPr>
                          <w:rFonts w:hint="eastAsia" w:ascii="仿宋_GB2312" w:hAnsi="宋体" w:eastAsia="仿宋_GB2312" w:cs="Times New Roman"/>
                          <w:b/>
                          <w:color w:val="000000"/>
                          <w:sz w:val="32"/>
                          <w:szCs w:val="32"/>
                          <w:lang w:val="en-US" w:eastAsia="zh-CN"/>
                        </w:rPr>
                        <w:t>28</w:t>
                      </w:r>
                      <w:r>
                        <w:rPr>
                          <w:rFonts w:hint="eastAsia" w:ascii="仿宋_GB2312" w:hAnsi="宋体" w:eastAsia="仿宋_GB2312" w:cs="Times New Roman"/>
                          <w:b/>
                          <w:color w:val="000000"/>
                          <w:sz w:val="32"/>
                          <w:szCs w:val="32"/>
                        </w:rPr>
                        <w:t>日</w:t>
                      </w:r>
                    </w:p>
                  </w:txbxContent>
                </v:textbox>
              </v:shape>
            </w:pict>
          </mc:Fallback>
        </mc:AlternateContent>
      </w:r>
      <w:r>
        <w:rPr>
          <w:rFonts w:hint="eastAsia" w:ascii="宋体" w:hAnsi="宋体" w:eastAsia="宋体" w:cs="Times New Roman"/>
          <w:b/>
          <w:sz w:val="28"/>
          <w:szCs w:val="28"/>
        </w:rPr>
        <mc:AlternateContent>
          <mc:Choice Requires="wps">
            <w:drawing>
              <wp:anchor distT="0" distB="0" distL="114300" distR="114300" simplePos="0" relativeHeight="251660288" behindDoc="0" locked="0" layoutInCell="1" allowOverlap="1">
                <wp:simplePos x="0" y="0"/>
                <wp:positionH relativeFrom="column">
                  <wp:posOffset>-92710</wp:posOffset>
                </wp:positionH>
                <wp:positionV relativeFrom="paragraph">
                  <wp:posOffset>99060</wp:posOffset>
                </wp:positionV>
                <wp:extent cx="5805170" cy="0"/>
                <wp:effectExtent l="0" t="9525" r="5080" b="9525"/>
                <wp:wrapNone/>
                <wp:docPr id="4" name="直接连接符 4"/>
                <wp:cNvGraphicFramePr/>
                <a:graphic xmlns:a="http://schemas.openxmlformats.org/drawingml/2006/main">
                  <a:graphicData uri="http://schemas.microsoft.com/office/word/2010/wordprocessingShape">
                    <wps:wsp>
                      <wps:cNvCnPr/>
                      <wps:spPr>
                        <a:xfrm>
                          <a:off x="0" y="0"/>
                          <a:ext cx="5805170" cy="0"/>
                        </a:xfrm>
                        <a:prstGeom prst="line">
                          <a:avLst/>
                        </a:prstGeom>
                        <a:ln w="19050" cap="flat" cmpd="sng">
                          <a:solidFill>
                            <a:srgbClr val="FFFFFF"/>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7.3pt;margin-top:7.8pt;height:0pt;width:457.1pt;z-index:251660288;mso-width-relative:page;mso-height-relative:page;" filled="f" stroked="t" coordsize="21600,21600" o:gfxdata="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eS2US1wAAAAkBAAAPAAAAAAAAAAEAIAAAACIAAABkcnMvZG93bnJldi54bWxQSwECFAAU&#10;AAAACACHTuJAY7nPufIBAADnAwAADgAAAAAAAAABACAAAAAmAQAAZHJzL2Uyb0RvYy54bWxQSwUG&#10;AAAAAAYABgBZAQAAigUAAAAA&#10;">
                <v:fill on="f" focussize="0,0"/>
                <v:stroke weight="1.5pt" color="#FFFFFF" joinstyle="round"/>
                <v:imagedata o:title=""/>
                <o:lock v:ext="edit" aspectratio="f"/>
              </v:line>
            </w:pict>
          </mc:Fallback>
        </mc:AlternateContent>
      </w:r>
      <w:bookmarkStart w:id="0" w:name="_Toc27463"/>
      <w:bookmarkStart w:id="1" w:name="_Toc31568"/>
      <w:bookmarkStart w:id="2" w:name="_Toc28141"/>
      <w:bookmarkStart w:id="3" w:name="_Toc14317"/>
    </w:p>
    <w:p>
      <w:pPr>
        <w:spacing w:line="240" w:lineRule="atLeast"/>
        <w:rPr>
          <w:rFonts w:ascii="仿宋_GB2312" w:hAnsi="Cambria" w:eastAsia="仿宋_GB2312" w:cs="Times New Roman"/>
          <w:b/>
          <w:kern w:val="0"/>
          <w:sz w:val="36"/>
          <w:szCs w:val="36"/>
          <w:lang w:val="zh-CN"/>
        </w:rPr>
      </w:pPr>
      <w:r>
        <w:rPr>
          <w:rFonts w:ascii="Calibri" w:hAnsi="Calibri" w:eastAsia="宋体" w:cs="Times New Roman"/>
          <w:sz w:val="36"/>
        </w:rPr>
        <mc:AlternateContent>
          <mc:Choice Requires="wps">
            <w:drawing>
              <wp:anchor distT="0" distB="0" distL="114300" distR="114300" simplePos="0" relativeHeight="251661312" behindDoc="0" locked="0" layoutInCell="1" allowOverlap="1">
                <wp:simplePos x="0" y="0"/>
                <wp:positionH relativeFrom="column">
                  <wp:posOffset>-93345</wp:posOffset>
                </wp:positionH>
                <wp:positionV relativeFrom="paragraph">
                  <wp:posOffset>57785</wp:posOffset>
                </wp:positionV>
                <wp:extent cx="5819775" cy="9525"/>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819775" cy="9525"/>
                        </a:xfrm>
                        <a:prstGeom prst="line">
                          <a:avLst/>
                        </a:prstGeom>
                        <a:ln w="9525"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7.35pt;margin-top:4.55pt;height:0.75pt;width:458.25pt;z-index:251661312;mso-width-relative:page;mso-height-relative:page;" filled="f" stroked="t" coordsize="21600,21600" o:gfxdata="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W8y8fXAAAACAEAAA8AAAAAAAAAAQAgAAAAIgAAAGRycy9kb3ducmV2Lnht&#10;bFBLAQIUABQAAAAIAIdO4kAGIso6+gEAAPMDAAAOAAAAAAAAAAEAIAAAACYBAABkcnMvZTJvRG9j&#10;LnhtbFBLBQYAAAAABgAGAFkBAACSBQAAAAA=&#10;">
                <v:fill on="f" focussize="0,0"/>
                <v:stroke color="#FF0000" joinstyle="round"/>
                <v:imagedata o:title=""/>
                <o:lock v:ext="edit" aspectratio="f"/>
              </v:line>
            </w:pict>
          </mc:Fallback>
        </mc:AlternateContent>
      </w:r>
    </w:p>
    <w:p>
      <w:pPr>
        <w:spacing w:line="240" w:lineRule="atLeast"/>
        <w:rPr>
          <w:rFonts w:ascii="仿宋_GB2312" w:hAnsi="Cambria" w:eastAsia="仿宋_GB2312" w:cs="Times New Roman"/>
          <w:b/>
          <w:kern w:val="0"/>
          <w:sz w:val="36"/>
          <w:szCs w:val="36"/>
          <w:lang w:val="zh-CN"/>
        </w:rPr>
      </w:pPr>
    </w:p>
    <w:p>
      <w:pPr>
        <w:spacing w:line="240" w:lineRule="atLeast"/>
        <w:rPr>
          <w:rFonts w:ascii="仿宋_GB2312" w:hAnsi="Cambria" w:eastAsia="仿宋_GB2312" w:cs="Times New Roman"/>
          <w:b/>
          <w:kern w:val="0"/>
          <w:sz w:val="36"/>
          <w:szCs w:val="36"/>
          <w:lang w:val="zh-CN"/>
        </w:rPr>
      </w:pPr>
    </w:p>
    <w:p>
      <w:pPr>
        <w:spacing w:line="240" w:lineRule="atLeast"/>
        <w:rPr>
          <w:rFonts w:ascii="华文仿宋" w:hAnsi="华文仿宋" w:eastAsia="华文仿宋" w:cs="Times New Roman"/>
          <w:b/>
          <w:sz w:val="36"/>
          <w:szCs w:val="36"/>
        </w:rPr>
      </w:pPr>
      <w:r>
        <w:rPr>
          <w:rFonts w:hint="eastAsia" w:ascii="仿宋_GB2312" w:hAnsi="Cambria" w:eastAsia="仿宋_GB2312" w:cs="Times New Roman"/>
          <w:b/>
          <w:kern w:val="0"/>
          <w:sz w:val="36"/>
          <w:szCs w:val="36"/>
          <w:lang w:val="zh-CN"/>
        </w:rPr>
        <w:t>本期要目</w:t>
      </w:r>
      <w:bookmarkEnd w:id="0"/>
      <w:bookmarkEnd w:id="1"/>
      <w:bookmarkEnd w:id="2"/>
      <w:bookmarkEnd w:id="3"/>
    </w:p>
    <w:p>
      <w:pPr>
        <w:spacing w:line="360" w:lineRule="auto"/>
        <w:rPr>
          <w:rFonts w:ascii="仿宋_GB2312" w:hAnsi="Calibri" w:eastAsia="仿宋_GB2312" w:cs="Times New Roman"/>
          <w:b/>
          <w:bCs/>
          <w:sz w:val="36"/>
          <w:szCs w:val="36"/>
        </w:rPr>
      </w:pPr>
    </w:p>
    <w:p>
      <w:pPr>
        <w:tabs>
          <w:tab w:val="right" w:leader="dot" w:pos="8296"/>
        </w:tabs>
        <w:spacing w:line="560" w:lineRule="exact"/>
        <w:rPr>
          <w:rFonts w:hint="eastAsia" w:ascii="仿宋" w:hAnsi="仿宋" w:eastAsia="仿宋" w:cs="仿宋"/>
          <w:bCs/>
          <w:snapToGrid w:val="0"/>
          <w:spacing w:val="-8"/>
          <w:sz w:val="36"/>
          <w:szCs w:val="36"/>
          <w:lang w:val="en-US" w:eastAsia="zh-CN"/>
        </w:rPr>
      </w:pPr>
      <w:r>
        <w:rPr>
          <w:rFonts w:hint="eastAsia" w:ascii="仿宋" w:hAnsi="仿宋" w:eastAsia="仿宋" w:cs="仿宋"/>
          <w:bCs/>
          <w:snapToGrid w:val="0"/>
          <w:spacing w:val="-8"/>
          <w:sz w:val="36"/>
          <w:szCs w:val="36"/>
        </w:rPr>
        <w:t>◆关于进一步优化新冠肺炎疫情防控措施 科学精准做好防控工作的通知</w:t>
      </w:r>
      <w:r>
        <w:rPr>
          <w:rFonts w:hint="eastAsia" w:ascii="仿宋" w:hAnsi="仿宋" w:eastAsia="仿宋" w:cs="仿宋"/>
          <w:bCs/>
          <w:snapToGrid w:val="0"/>
          <w:spacing w:val="-8"/>
          <w:sz w:val="36"/>
          <w:szCs w:val="36"/>
        </w:rPr>
        <w:tab/>
      </w:r>
      <w:r>
        <w:rPr>
          <w:rFonts w:hint="eastAsia" w:ascii="仿宋" w:hAnsi="仿宋" w:eastAsia="仿宋" w:cs="仿宋"/>
          <w:bCs/>
          <w:snapToGrid w:val="0"/>
          <w:spacing w:val="-8"/>
          <w:sz w:val="36"/>
          <w:szCs w:val="36"/>
          <w:lang w:val="en-US" w:eastAsia="zh-CN"/>
        </w:rPr>
        <w:t>1</w:t>
      </w:r>
    </w:p>
    <w:p>
      <w:pPr>
        <w:tabs>
          <w:tab w:val="right" w:leader="dot" w:pos="8296"/>
        </w:tabs>
        <w:spacing w:line="560" w:lineRule="exact"/>
        <w:rPr>
          <w:rFonts w:hint="default" w:ascii="仿宋" w:hAnsi="仿宋" w:eastAsia="仿宋" w:cs="仿宋"/>
          <w:bCs/>
          <w:snapToGrid w:val="0"/>
          <w:spacing w:val="-8"/>
          <w:sz w:val="36"/>
          <w:szCs w:val="36"/>
          <w:lang w:val="en-US" w:eastAsia="zh-CN"/>
        </w:rPr>
      </w:pPr>
      <w:r>
        <w:rPr>
          <w:rFonts w:hint="eastAsia" w:ascii="仿宋" w:hAnsi="仿宋" w:eastAsia="仿宋" w:cs="仿宋"/>
          <w:bCs/>
          <w:snapToGrid w:val="0"/>
          <w:spacing w:val="-8"/>
          <w:sz w:val="36"/>
          <w:szCs w:val="36"/>
        </w:rPr>
        <w:t>◆内江市财政局关于强化政府采购项目履约验收管理工作的通知</w:t>
      </w:r>
      <w:r>
        <w:rPr>
          <w:rFonts w:hint="eastAsia" w:ascii="仿宋" w:hAnsi="仿宋" w:eastAsia="仿宋" w:cs="仿宋"/>
          <w:bCs/>
          <w:snapToGrid w:val="0"/>
          <w:spacing w:val="-8"/>
          <w:sz w:val="36"/>
          <w:szCs w:val="36"/>
        </w:rPr>
        <w:tab/>
      </w:r>
      <w:r>
        <w:rPr>
          <w:rFonts w:hint="eastAsia" w:ascii="仿宋" w:hAnsi="仿宋" w:eastAsia="仿宋" w:cs="仿宋"/>
          <w:bCs/>
          <w:snapToGrid w:val="0"/>
          <w:spacing w:val="-8"/>
          <w:sz w:val="36"/>
          <w:szCs w:val="36"/>
          <w:lang w:val="en-US" w:eastAsia="zh-CN"/>
        </w:rPr>
        <w:t>12</w:t>
      </w:r>
      <w:bookmarkStart w:id="6" w:name="_GoBack"/>
      <w:bookmarkEnd w:id="6"/>
    </w:p>
    <w:p>
      <w:pPr>
        <w:tabs>
          <w:tab w:val="right" w:leader="dot" w:pos="8296"/>
        </w:tabs>
        <w:spacing w:line="560" w:lineRule="exact"/>
        <w:rPr>
          <w:rFonts w:hint="eastAsia" w:ascii="仿宋" w:hAnsi="仿宋" w:eastAsia="仿宋" w:cs="仿宋"/>
          <w:bCs/>
          <w:snapToGrid w:val="0"/>
          <w:spacing w:val="-8"/>
          <w:sz w:val="36"/>
          <w:szCs w:val="36"/>
        </w:rPr>
      </w:pPr>
      <w:r>
        <w:rPr>
          <w:rFonts w:hint="eastAsia" w:ascii="仿宋" w:hAnsi="仿宋" w:eastAsia="仿宋" w:cs="仿宋"/>
          <w:bCs/>
          <w:snapToGrid w:val="0"/>
          <w:spacing w:val="-8"/>
          <w:sz w:val="36"/>
          <w:szCs w:val="36"/>
        </w:rPr>
        <w:t>◆内江师范学院普通高等学校师范类专业认证一点通</w:t>
      </w:r>
      <w:r>
        <w:rPr>
          <w:rFonts w:hint="eastAsia" w:ascii="仿宋" w:hAnsi="仿宋" w:eastAsia="仿宋" w:cs="仿宋"/>
          <w:bCs/>
          <w:snapToGrid w:val="0"/>
          <w:spacing w:val="-8"/>
          <w:sz w:val="36"/>
          <w:szCs w:val="36"/>
        </w:rPr>
        <w:tab/>
      </w:r>
    </w:p>
    <w:p>
      <w:pPr>
        <w:tabs>
          <w:tab w:val="right" w:leader="dot" w:pos="8296"/>
        </w:tabs>
        <w:spacing w:line="560" w:lineRule="exact"/>
        <w:rPr>
          <w:rFonts w:hint="eastAsia" w:ascii="仿宋" w:hAnsi="仿宋" w:eastAsia="仿宋" w:cs="仿宋"/>
          <w:bCs/>
          <w:snapToGrid w:val="0"/>
          <w:spacing w:val="-8"/>
          <w:sz w:val="36"/>
          <w:szCs w:val="36"/>
          <w:lang w:val="en-US" w:eastAsia="zh-CN"/>
        </w:rPr>
      </w:pPr>
      <w:r>
        <w:rPr>
          <w:rFonts w:hint="eastAsia" w:ascii="仿宋" w:hAnsi="仿宋" w:eastAsia="仿宋" w:cs="仿宋"/>
          <w:bCs/>
          <w:snapToGrid w:val="0"/>
          <w:spacing w:val="-8"/>
          <w:sz w:val="36"/>
          <w:szCs w:val="36"/>
        </w:rPr>
        <w:tab/>
      </w:r>
      <w:r>
        <w:rPr>
          <w:rFonts w:hint="eastAsia" w:ascii="仿宋" w:hAnsi="仿宋" w:eastAsia="仿宋" w:cs="仿宋"/>
          <w:bCs/>
          <w:snapToGrid w:val="0"/>
          <w:spacing w:val="-8"/>
          <w:sz w:val="36"/>
          <w:szCs w:val="36"/>
          <w:lang w:val="en-US" w:eastAsia="zh-CN"/>
        </w:rPr>
        <w:t>17</w:t>
      </w:r>
    </w:p>
    <w:p>
      <w:pPr>
        <w:tabs>
          <w:tab w:val="right" w:leader="dot" w:pos="8296"/>
        </w:tabs>
        <w:spacing w:line="560" w:lineRule="exact"/>
        <w:rPr>
          <w:rFonts w:hint="default" w:ascii="仿宋" w:hAnsi="仿宋" w:eastAsia="仿宋" w:cs="仿宋"/>
          <w:bCs/>
          <w:snapToGrid w:val="0"/>
          <w:spacing w:val="-8"/>
          <w:sz w:val="36"/>
          <w:szCs w:val="36"/>
          <w:lang w:val="en-US" w:eastAsia="zh-CN"/>
        </w:rPr>
      </w:pPr>
    </w:p>
    <w:p>
      <w:pPr>
        <w:pStyle w:val="4"/>
        <w:rPr>
          <w:rFonts w:hint="eastAsia"/>
          <w:lang w:val="en-US" w:eastAsia="zh-CN"/>
        </w:rPr>
      </w:pPr>
    </w:p>
    <w:p>
      <w:pPr>
        <w:tabs>
          <w:tab w:val="right" w:leader="dot" w:pos="8296"/>
        </w:tabs>
        <w:spacing w:line="560" w:lineRule="exact"/>
        <w:jc w:val="both"/>
        <w:rPr>
          <w:rFonts w:hint="eastAsia" w:ascii="仿宋" w:hAnsi="仿宋" w:eastAsia="仿宋" w:cs="仿宋"/>
          <w:b/>
          <w:bCs/>
          <w:kern w:val="2"/>
          <w:sz w:val="30"/>
          <w:szCs w:val="30"/>
          <w:lang w:val="en-US" w:eastAsia="zh-CN" w:bidi="ar-SA"/>
        </w:rPr>
      </w:pPr>
    </w:p>
    <w:p>
      <w:pPr>
        <w:tabs>
          <w:tab w:val="right" w:leader="dot" w:pos="8296"/>
        </w:tabs>
        <w:spacing w:line="560" w:lineRule="exact"/>
        <w:jc w:val="center"/>
        <w:rPr>
          <w:rFonts w:hint="eastAsia" w:ascii="仿宋" w:hAnsi="仿宋" w:eastAsia="仿宋" w:cs="仿宋"/>
          <w:b/>
          <w:bCs/>
          <w:kern w:val="2"/>
          <w:sz w:val="30"/>
          <w:szCs w:val="30"/>
          <w:lang w:val="en-US" w:eastAsia="zh-CN" w:bidi="ar-SA"/>
        </w:rPr>
        <w:sectPr>
          <w:footerReference r:id="rId3" w:type="default"/>
          <w:pgSz w:w="11906" w:h="16838"/>
          <w:pgMar w:top="1440" w:right="1800" w:bottom="1440" w:left="1800" w:header="851" w:footer="992" w:gutter="0"/>
          <w:pgNumType w:start="1"/>
          <w:cols w:space="425" w:num="1"/>
          <w:docGrid w:type="lines" w:linePitch="312" w:charSpace="0"/>
        </w:sect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Times New Roman" w:eastAsia="方正小标宋简体" w:cstheme="minorBidi"/>
          <w:color w:val="auto"/>
          <w:kern w:val="2"/>
          <w:sz w:val="44"/>
          <w:szCs w:val="44"/>
          <w:lang w:val="en-US" w:eastAsia="zh-CN" w:bidi="ar-SA"/>
        </w:rPr>
      </w:pPr>
      <w:r>
        <w:rPr>
          <w:rFonts w:hint="eastAsia" w:ascii="方正小标宋简体" w:hAnsi="Times New Roman" w:eastAsia="方正小标宋简体" w:cstheme="minorBidi"/>
          <w:color w:val="auto"/>
          <w:kern w:val="2"/>
          <w:sz w:val="44"/>
          <w:szCs w:val="44"/>
          <w:lang w:val="en-US" w:eastAsia="zh-CN" w:bidi="ar-SA"/>
        </w:rPr>
        <w:t xml:space="preserve">关于进一步优化新冠肺炎疫情防控措施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Times New Roman" w:eastAsia="方正小标宋简体" w:cstheme="minorBidi"/>
          <w:color w:val="auto"/>
          <w:kern w:val="2"/>
          <w:sz w:val="44"/>
          <w:szCs w:val="44"/>
          <w:lang w:val="en-US" w:eastAsia="zh-CN" w:bidi="ar-SA"/>
        </w:rPr>
      </w:pPr>
      <w:r>
        <w:rPr>
          <w:rFonts w:hint="eastAsia" w:ascii="方正小标宋简体" w:hAnsi="Times New Roman" w:eastAsia="方正小标宋简体" w:cstheme="minorBidi"/>
          <w:color w:val="auto"/>
          <w:kern w:val="2"/>
          <w:sz w:val="44"/>
          <w:szCs w:val="44"/>
          <w:lang w:val="en-US" w:eastAsia="zh-CN" w:bidi="ar-SA"/>
        </w:rPr>
        <w:t>科学精准做好防控工作的通知</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jc w:val="center"/>
        <w:textAlignment w:val="auto"/>
        <w:rPr>
          <w:rFonts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联防联控机制综发〔2022〕101号</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各省、自治区、直辖市及新疆生产建设兵团应对新型冠状病毒肺炎疫情联防联控机制（领导小组、指挥部），国务院应对新型冠状病毒肺炎疫情联防联控机制各成员单位：</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新冠肺炎疫情发生以来，在以习近平同志为核心的党中央坚强领导下，我国坚持人民至上、生命至上，坚持外防输入、内防反弹，坚持动态清零不动摇，因时因势优化完善防控措施，积极应对全球多轮疫情流行的冲击，最大程度保护了人民生命安全和身体健康，统筹疫情防控和经济社会发展取得重大积极成果。11月10日，中央政治局常委会召开会议听取新冠肺炎疫情防控工作汇报，研究部署进一步优化防控工作的二十条措施。为贯彻落实中央政治局常委会会议精神，抓好疫情防控和优化调整措施的实施，现就有关工作通知如下：</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ascii="黑体" w:hAnsi="宋体" w:eastAsia="黑体" w:cs="黑体"/>
          <w:i w:val="0"/>
          <w:iCs w:val="0"/>
          <w:caps w:val="0"/>
          <w:color w:val="auto"/>
          <w:spacing w:val="0"/>
          <w:sz w:val="32"/>
          <w:szCs w:val="32"/>
          <w:u w:val="none"/>
        </w:rPr>
        <w:t>一、</w:t>
      </w:r>
      <w:r>
        <w:rPr>
          <w:rFonts w:hint="eastAsia" w:ascii="黑体" w:hAnsi="宋体" w:eastAsia="黑体" w:cs="黑体"/>
          <w:i w:val="0"/>
          <w:iCs w:val="0"/>
          <w:caps w:val="0"/>
          <w:color w:val="auto"/>
          <w:spacing w:val="0"/>
          <w:sz w:val="32"/>
          <w:szCs w:val="32"/>
          <w:u w:val="none"/>
        </w:rPr>
        <w:t>提高政治站位，科学精准做好疫情防控工作</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当前，新冠病毒仍在持续变异，全球疫情仍处于流行态势，国内新发疫情不断出现。我国是人口大国，脆弱人群数量多，地区发展不平衡，医疗资源总量不足，一些地区的疫情还有一定规模。受病毒变异和冬春季气候因素影响，疫情传播范围和规模有可能进一步扩大，防控形势仍然严峻复杂，必须保持战略定力，科学精准做好疫情防控各项工作。要适应病毒快速传播特点，以快制快，采取更为坚决、果断的措施，尽快遏制疫情扩散蔓延，集中力量打好重点地区疫情歼灭战。各地各部门要坚决把思想和行动统一到党中央决策部署上来，完整、准确、全面贯彻落实党中央决策部署，坚定不移坚持人民至上、生命至上，坚定不移落实“外防输入、内防反弹”总策略，坚定不移贯彻“动态清零”总方针，按照疫情要防住、经济要稳住、发展要安全的要求，高效统筹疫情防控和经济社会发展。要进一步提高政治站位，充分认识优化调整防控措施不是放松防控，更不是放开、“躺平”，而是适应疫情防控新形势和新冠病毒变异的新特点，坚持既定的防控策略和方针，进一步提升防控的科学性、精准性，最大程度保护人民生命安全和身体健康，最大限度减少疫情对经济社会发展的影响，以实际行动贯彻落实党的二十大精神。</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hint="eastAsia" w:ascii="黑体" w:hAnsi="宋体" w:eastAsia="黑体" w:cs="黑体"/>
          <w:i w:val="0"/>
          <w:iCs w:val="0"/>
          <w:caps w:val="0"/>
          <w:color w:val="auto"/>
          <w:spacing w:val="0"/>
          <w:sz w:val="32"/>
          <w:szCs w:val="32"/>
          <w:u w:val="none"/>
        </w:rPr>
        <w:t>二、落实党中央部署，积极稳妥抓好防控措施的优化调整</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党中央对进一步优化防控工作的二十条措施作出重要部署、提出明确要求，各地各部门要不折不扣把各项优化措施落实到位。</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一）对密切接触者，将“7天集中隔离+3天居家健康监测”管理措施调整为“5天集中隔离+3天居家隔离”，期间赋码管理、不得外出。集中隔离医学观察的第1、2、3、5天各开展1次核酸检测，居家隔离医学观察第1、3天各开展1次核酸检测。</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（二）及时准确判定密切接触者，不再判定密接的密接。</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（三）将高风险区外溢人员“7天集中隔离”调整为“7天居家隔离”，期间赋码管理、不得外出。在居家隔离第1、3、5、7天各开展1次核酸检测。</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四）将风险区由“高、中、低”三类调整为“高、低”两类，最大限度减少管控人员。原则上将感染者居住地以及活动频繁且疫情传播风险较高的工作地和活动地等区域划定为高风险区，高风险区一般以单元、楼栋为单位划定，不得随意扩大；高风险区所在县（市、区、旗）的其他地区划定为低风险区。高风险区连续5天未发现新增感染者，降为低风险区。符合解封条件的高风险区要及时解封。</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五）对结束闭环作业的高风险岗位从业人员由“7天集中隔离或7天居家隔离”调整为“5天居家健康监测”，期间赋码管理，第1、3、5天各开展1次核酸检测，非必要不外出，确需外出的不前往人员密集公共场所、不乘坐公共交通工具。</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六）没有发生疫情的地区严格按照第九版防控方案确定的范围对风险岗位、重点人员开展核酸检测，不得扩大核酸检测范围。一般不按行政区域开展全员核酸检测，只在感染来源和传播链条不清、社区传播时间较长等疫情底数不清时开展。制定规范核酸检测的具体实施办法，重申和细化有关要求，纠正“一天两检”、“一天三检”等不科学做法。</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（七）取消入境航班熔断机制，并将登机前48小时内2次核酸检测阴性证明调整为登机前48小时内1次核酸检测阴性证明。</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八）对于入境重要商务人员、体育团组等，“点对点”转运至免隔离闭环管理区（“闭环泡泡”)，开展商务、训练、比赛等活动，期间赋码管理，不可离开管理区。中方人员进入管理区前需完成新冠病毒疫苗加强免疫接种，完成工作后根据风险大小采取相应的隔离管理或健康监测措施。</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（九）明确入境人员阳性判定标准为核酸检测Ct值&lt;35，对解除集中隔离时核酸检测Ct值35—40的人员进行风险评估，如为既往感染，居家隔离期间“三天两检”、赋码管理、不得外出。</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对入境人员，将“7天集中隔离+3天居家健康监测”调整为“5天集中隔离+3天居家隔离”，期间赋码管理、不得外出。入境人员在第一入境点完成隔离后，目的地不得重复隔离。集中隔离医学观察的第1、2、3、5天各开展1次核酸检测，居家隔离医学观察第1、3天各开展1次核酸检测。</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一）加强医疗资源建设。制定分级分类诊疗方案、不同临床严重程度感染者入院标准、各类医疗机构发生疫情和医务人员感染处置方案，做好医务人员全员培训。做好住院床位和重症床位准备，增加救治资源。</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二）有序推进新冠病毒疫苗接种。制定加快推进疫苗接种的方案，加快提高疫苗加强免疫接种覆盖率，特别是老年人群加强免疫接种覆盖率。加快开展具有广谱保护作用的单价或多价疫苗研发，依法依规推进审批。</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三）加快新冠肺炎治疗相关药物储备。做好供应储备，满足患者用药需求，尤其是重症高风险和老年患者治疗需求。重视发挥中医药的独特优势，做好有效中医药方药的储备。加强急救药品和医疗设备的储备。</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（十四）强化重点机构、重点人群保护。摸清老年人、有基础性疾病患者、孕产妇、血液透析患者等群体底数，制定健康安全保障方案。优化对养老院、精神专科医院、福利院等脆弱人群集中场所的管理。</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五）落实“四早”要求，减少疫情规模和处置时间。各地要进一步健全疫情多渠道监测预警和多点触发机制，面向跨省流动人员开展“落地检”，发现感染者依法及时报告，第一时间做好流调和风险人员管控，严格做到早发现、早报告、早隔离、早治疗，避免战线扩大、时间延长，决不能等待观望、各行其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六）加大“一刀切”、层层加码问题整治力度。地方党委和政府要落实属地责任，严格执行国家统一的防控政策，严禁随意封校停课、停工停产、未经批准阻断交通、随意采取“静默”管理、随意封控、长时间不解封、随意停诊等各类层层加码行为，加大通报、公开曝光力度，对造成严重后果的依法依规严肃追责。发挥各级整治层层加码问题工作专班作用，高效做好举报线索收集转办，督促地方及时整改到位。卫生健康委、疾控局、教育部、交通运输部等各行业主管部门加强对行业系统的督促指导，加大典型案例曝光力度，切实起到震慑作用。</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七）加强封控隔离人员服务保障。各地要建立生活物资保障工作专班，及时制定完善生活必需品市场供应、封闭小区配送、区域联保联供等预案，做好重要民生商品储备。全面摸排社区常住人口基础信息，掌握空巢独居老年人、困境儿童、孕产妇、基础病患者等重点人员情况，建立重点人员清单、疫情期间需求清单。优化封闭区域终端配送，明确生活物资供应专门力量，在小区内划出固定接收点，打通配送“最后一米”。指导社区与医疗机构、药房等建立直通热线，小区配备专车，做好服务衔接，严格落实首诊负责制和急危重症抢救制度，不得以任何理由推诿拒诊，保障居民治疗、用药等需求。做好封控隔离人员心理疏导，加大对老弱病残等特殊群体的关心帮助力度，解决好人民群众实际困难。</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八）优化校园疫情防控措施。完善校地协同机制，联防联控加强校园疫情应急处置保障，优先安排校园转运隔离、核酸检测、流调溯源、环境消毒、生活物资保障等工作，提升学校疫情应急处置能力，支持学校以快制快处置疫情。各地各校要严格执行国家和教育部门防控措施，坚决落实科学精准防控要求，不得加码管控。教育部和各省级、地市级教育部门牵头成立工作专班，逐一排查校园随意封控、封控时间过长、长时间不开展线下教学、生活保障跟不上、师生员工家属管控要求不一致等突出问题并督促整改，整治防控不力和过度防疫问题。各级教育部门设立投诉平台和热线电话，及时受理、转办和回应，建立“接诉即办”机制，健全问题快速反应和解决反馈机制，及时推动解决师生急难愁盼问题。</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十九）落实企业和工业园区防控措施。各地联防联控机制要成立专班，摸清辖区包括民营企业在内的企业和工业园区底数，“一企一策”“一园一策”制定疫情防控处置预案。落实企业和工业园区疫情防控主体责任，建立从企业、园区管理层到车间班组、一线职工的疫情防控全员责任体系，细化全环节、全流程疫情防控台账。严格返岗人员涉疫风险核查，确认健康后方可返岗。加强对关键岗位、关键工序员工的生活、防疫和轮岗备岗保障，完善第三方外包人员管理办法，严格社会面人员出入管理。发生疫情期间，要全力保障物流通畅，不得擅自要求事关产业链全局和涉及民生保供的重点企业停工停产，落实好“白名单”制度。</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二十）分类有序做好滞留人员疏解。发生疫情的地方要及时精准划定风险区域，对不在高风险区的外地人员，评估风险后允许其离开，避免发生滞留，返程途中做好防护。发生较多人员滞留的地方，要专门制定疏解方案，出发地与目的地加强信息沟通和协作配合，在有效防止疫情外溢的前提下稳妥安排，交通运输、民航、国铁等单位要积极给予交通运力保障。目的地要增强大局意识，不得拒绝接受滞留人员返回，并按照要求落实好返回人员防控措施，既要避免疫情外溢，也不得加码管控。</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hint="eastAsia" w:ascii="黑体" w:hAnsi="宋体" w:eastAsia="黑体" w:cs="黑体"/>
          <w:i w:val="0"/>
          <w:iCs w:val="0"/>
          <w:caps w:val="0"/>
          <w:color w:val="auto"/>
          <w:spacing w:val="0"/>
          <w:sz w:val="32"/>
          <w:szCs w:val="32"/>
          <w:u w:val="none"/>
        </w:rPr>
        <w:t>三、强化风险防范，把应对风险隐患的各项措施落到实处</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各地各部门要坚持底线思维，突出问题导向，做好优化调整措施实施中的有序工作衔接，把握关键环节，做好相关风险防范应对，确保疫情风险总体可控。</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ascii="楷体" w:hAnsi="楷体" w:eastAsia="楷体" w:cs="楷体"/>
          <w:i w:val="0"/>
          <w:iCs w:val="0"/>
          <w:caps w:val="0"/>
          <w:color w:val="auto"/>
          <w:spacing w:val="0"/>
          <w:sz w:val="32"/>
          <w:szCs w:val="32"/>
          <w:u w:val="none"/>
        </w:rPr>
        <w:t>（一）关于风险人员管控。</w:t>
      </w:r>
      <w:r>
        <w:rPr>
          <w:rFonts w:hint="eastAsia" w:ascii="仿宋" w:hAnsi="仿宋" w:eastAsia="仿宋" w:cs="仿宋"/>
          <w:i w:val="0"/>
          <w:iCs w:val="0"/>
          <w:caps w:val="0"/>
          <w:color w:val="auto"/>
          <w:spacing w:val="0"/>
          <w:sz w:val="32"/>
          <w:szCs w:val="32"/>
          <w:u w:val="none"/>
        </w:rPr>
        <w:t>各地要严格做好集中隔离点的管理，避免隔离点交叉感染。指导具备居家隔离条件的人员在居家隔离期间严格落实有关要求，一旦检出阳性，开展传播风险研判并追踪管理相关风险人员，防止疫情外溢；不具备居家隔离条件者仍实行集中隔离。要加强高风险岗位从业人员作业期间的闭环管理和个人防护，避免工作期间感染。指导高风险岗位从业人员居家健康监测期间严格落实有关要求，一旦检出阳性，立即开展传播风险研判并追踪管理相关风险人员，防止疫情外溢。</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hint="eastAsia" w:ascii="楷体" w:hAnsi="楷体" w:eastAsia="楷体" w:cs="楷体"/>
          <w:i w:val="0"/>
          <w:iCs w:val="0"/>
          <w:caps w:val="0"/>
          <w:color w:val="auto"/>
          <w:spacing w:val="0"/>
          <w:sz w:val="32"/>
          <w:szCs w:val="32"/>
          <w:u w:val="none"/>
        </w:rPr>
        <w:t>（二）关于风险区域划定。</w:t>
      </w:r>
      <w:r>
        <w:rPr>
          <w:rFonts w:hint="eastAsia" w:ascii="仿宋" w:hAnsi="仿宋" w:eastAsia="仿宋" w:cs="仿宋"/>
          <w:i w:val="0"/>
          <w:iCs w:val="0"/>
          <w:caps w:val="0"/>
          <w:color w:val="auto"/>
          <w:spacing w:val="0"/>
          <w:sz w:val="32"/>
          <w:szCs w:val="32"/>
          <w:u w:val="none"/>
        </w:rPr>
        <w:t>各地在疫情发生后，要及时划定高风险区并对外发布。一般以单元、楼栋为单位划定高风险区，在疫情传播风险不明确或存在广泛社区传播的情况下，可适度扩大高风险区划定范围。</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hint="eastAsia" w:ascii="楷体" w:hAnsi="楷体" w:eastAsia="楷体" w:cs="楷体"/>
          <w:i w:val="0"/>
          <w:iCs w:val="0"/>
          <w:caps w:val="0"/>
          <w:color w:val="auto"/>
          <w:spacing w:val="0"/>
          <w:sz w:val="32"/>
          <w:szCs w:val="32"/>
          <w:u w:val="none"/>
        </w:rPr>
        <w:t>（三）关于外防输入措施的调整。</w:t>
      </w:r>
      <w:r>
        <w:rPr>
          <w:rFonts w:hint="eastAsia" w:ascii="仿宋" w:hAnsi="仿宋" w:eastAsia="仿宋" w:cs="仿宋"/>
          <w:i w:val="0"/>
          <w:iCs w:val="0"/>
          <w:caps w:val="0"/>
          <w:color w:val="auto"/>
          <w:spacing w:val="0"/>
          <w:sz w:val="32"/>
          <w:szCs w:val="32"/>
          <w:u w:val="none"/>
        </w:rPr>
        <w:t>各地要做好集中隔离资源储备，规范设置集中隔离点并严格实施管理。加强入境人员居家隔离期间的规范管理。对免隔离闭环管理区（“闭环泡泡”）内外方和中方人员严格落实闭环管理、个人防护、核酸检测等要求，严防“破环”。对核酸检测Ct值35—40的入境人员予以进一步甄别，24小时后再完成一次核酸检测，如核酸检测Ct值&lt;35，立即转运至定点医院或方舱医院隔离治疗；如核酸检测Ct值≥35，一般为既往感染，居家隔离期间“三天两检”、赋码管理、不得外出。</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hint="eastAsia" w:ascii="黑体" w:hAnsi="宋体" w:eastAsia="黑体" w:cs="黑体"/>
          <w:i w:val="0"/>
          <w:iCs w:val="0"/>
          <w:caps w:val="0"/>
          <w:color w:val="auto"/>
          <w:spacing w:val="0"/>
          <w:sz w:val="32"/>
          <w:szCs w:val="32"/>
          <w:u w:val="none"/>
        </w:rPr>
        <w:t>四、加强优化调整工作的组织保障</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落实好优化调整防控措施，要突出抓好政策解读、培训指导和责任落实，进一步凝聚全社会共识，避免和消除对措施优化调整的误读，加强领导、强化责任，坚决守住不发生大规模疫情的底线。</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hint="eastAsia" w:ascii="楷体" w:hAnsi="楷体" w:eastAsia="楷体" w:cs="楷体"/>
          <w:i w:val="0"/>
          <w:iCs w:val="0"/>
          <w:caps w:val="0"/>
          <w:color w:val="auto"/>
          <w:spacing w:val="0"/>
          <w:sz w:val="32"/>
          <w:szCs w:val="32"/>
          <w:u w:val="none"/>
        </w:rPr>
        <w:t>（一）加强宣传引导和政策解读。</w:t>
      </w:r>
      <w:r>
        <w:rPr>
          <w:rFonts w:hint="eastAsia" w:ascii="仿宋" w:hAnsi="仿宋" w:eastAsia="仿宋" w:cs="仿宋"/>
          <w:i w:val="0"/>
          <w:iCs w:val="0"/>
          <w:caps w:val="0"/>
          <w:color w:val="auto"/>
          <w:spacing w:val="0"/>
          <w:sz w:val="32"/>
          <w:szCs w:val="32"/>
          <w:u w:val="none"/>
        </w:rPr>
        <w:t>加强对优化调整政策的解读，强调继续坚持我国疫情防控总策略总方针，引导全社会充分认识坚持人民至上、生命至上，坚持外防输入、内防反弹，坚持动态清零的重要意义，充分认识进一步优化防控措施是为了防控更加科学精准，决不能造成放松疫情防控，甚至放开、“躺平”的误读。引导客观认识我国防控政策措施的优化调整是基于病毒变异的特点，既是科学的更是必要的，争取广大群众和基层一线工作人员的理解和支持，筑牢群防群控基础。加强舆情监测，及时回应群众关切。</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hint="eastAsia" w:ascii="楷体" w:hAnsi="楷体" w:eastAsia="楷体" w:cs="楷体"/>
          <w:i w:val="0"/>
          <w:iCs w:val="0"/>
          <w:caps w:val="0"/>
          <w:color w:val="auto"/>
          <w:spacing w:val="0"/>
          <w:sz w:val="32"/>
          <w:szCs w:val="32"/>
          <w:u w:val="none"/>
        </w:rPr>
        <w:t>（二）加强工作指导和各级培训。</w:t>
      </w:r>
      <w:r>
        <w:rPr>
          <w:rFonts w:hint="eastAsia" w:ascii="仿宋" w:hAnsi="仿宋" w:eastAsia="仿宋" w:cs="仿宋"/>
          <w:i w:val="0"/>
          <w:iCs w:val="0"/>
          <w:caps w:val="0"/>
          <w:color w:val="auto"/>
          <w:spacing w:val="0"/>
          <w:sz w:val="32"/>
          <w:szCs w:val="32"/>
          <w:u w:val="none"/>
        </w:rPr>
        <w:t>各行业主管部门要切实担负起责任，加强对本行业本领域优化调整工作的指导，完善配套政策，督促各项措施落实。各地要准确把握政策要义，进行全面部署，细化具体工作要求，深入开展面向各级防控工作人员的培训，通过组织培训，推动提升地方各级党委和政府、各级联防联控机制、基层防控一线的工作能力和水平。</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color w:val="auto"/>
          <w:sz w:val="32"/>
          <w:szCs w:val="32"/>
          <w:u w:val="none"/>
        </w:rPr>
      </w:pPr>
      <w:r>
        <w:rPr>
          <w:rFonts w:hint="eastAsia" w:ascii="楷体" w:hAnsi="楷体" w:eastAsia="楷体" w:cs="楷体"/>
          <w:i w:val="0"/>
          <w:iCs w:val="0"/>
          <w:caps w:val="0"/>
          <w:color w:val="auto"/>
          <w:spacing w:val="0"/>
          <w:sz w:val="32"/>
          <w:szCs w:val="32"/>
          <w:u w:val="none"/>
        </w:rPr>
        <w:t>（三）加强组织领导和责任落实。</w:t>
      </w:r>
      <w:r>
        <w:rPr>
          <w:rFonts w:hint="eastAsia" w:ascii="仿宋" w:hAnsi="仿宋" w:eastAsia="仿宋" w:cs="仿宋"/>
          <w:i w:val="0"/>
          <w:iCs w:val="0"/>
          <w:caps w:val="0"/>
          <w:color w:val="auto"/>
          <w:spacing w:val="0"/>
          <w:sz w:val="32"/>
          <w:szCs w:val="32"/>
          <w:u w:val="none"/>
        </w:rPr>
        <w:t>地方各级党委和政府要守土有责，守土尽责，主要负责同志亲自抓，明确责任分工，结合实际周密组织实施，加强政策培训、力量统筹和物资保障，有力有序推进防控措施优化调整，不折不扣落实各项任务。要充分认识抗疫斗争的复杂性、艰巨性、反复性，强化责任担当，增强斗争本领，深入基层、深入一线，抓实抓细疫情防控各项工作，全力做好人民群众生产生活服务保障，切实满足疫情处置期间群众基本生活需求，保障看病就医等基本民生服务，尽力维护正常生产生活秩序，做好思想引导和心理疏导，坚决打赢常态化疫情防控攻坚战。要坚持底线思维，突出问题导向，既要反对不负责任的态度，不能落实不到位，造成防控风险放大，又要反对和克服形式主义、官僚主义，坚决纠正简单化、“一刀切”、层层加码等做法，把优化调整的措施抓扎实，高效统筹疫情防控和经济社会发展，以实际行动体现学习贯彻党的二十大精神的良好成效。</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right"/>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国务院应对新型冠状病毒肺炎</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right"/>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疫情联防联控机制综合组 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right"/>
        <w:textAlignment w:val="auto"/>
        <w:rPr>
          <w:rFonts w:hint="eastAsia" w:ascii="仿宋" w:hAnsi="仿宋" w:eastAsia="仿宋" w:cs="仿宋"/>
          <w:color w:val="auto"/>
          <w:sz w:val="32"/>
          <w:szCs w:val="32"/>
          <w:u w:val="none"/>
        </w:rPr>
      </w:pPr>
      <w:r>
        <w:rPr>
          <w:rFonts w:hint="eastAsia" w:ascii="仿宋" w:hAnsi="仿宋" w:eastAsia="仿宋" w:cs="仿宋"/>
          <w:i w:val="0"/>
          <w:iCs w:val="0"/>
          <w:caps w:val="0"/>
          <w:color w:val="auto"/>
          <w:spacing w:val="0"/>
          <w:sz w:val="32"/>
          <w:szCs w:val="32"/>
          <w:u w:val="none"/>
        </w:rPr>
        <w:t>（国家卫生健康委代章）</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420"/>
        <w:jc w:val="center"/>
        <w:textAlignment w:val="auto"/>
        <w:rPr>
          <w:rFonts w:hint="eastAsia" w:ascii="方正小标宋简体" w:eastAsia="方正小标宋简体"/>
          <w:bCs/>
          <w:color w:val="FF0000"/>
          <w:w w:val="66"/>
          <w:sz w:val="160"/>
          <w:szCs w:val="160"/>
        </w:rPr>
      </w:pPr>
      <w:r>
        <w:rPr>
          <w:rFonts w:hint="eastAsia" w:ascii="仿宋" w:hAnsi="仿宋" w:eastAsia="仿宋" w:cs="仿宋"/>
          <w:i w:val="0"/>
          <w:iCs w:val="0"/>
          <w:caps w:val="0"/>
          <w:color w:val="auto"/>
          <w:spacing w:val="0"/>
          <w:sz w:val="32"/>
          <w:szCs w:val="32"/>
          <w:u w:val="none"/>
          <w:lang w:val="en-US" w:eastAsia="zh-CN"/>
        </w:rPr>
        <w:t xml:space="preserve">                             </w:t>
      </w:r>
      <w:r>
        <w:rPr>
          <w:rFonts w:hint="eastAsia" w:ascii="仿宋" w:hAnsi="仿宋" w:eastAsia="仿宋" w:cs="仿宋"/>
          <w:i w:val="0"/>
          <w:iCs w:val="0"/>
          <w:caps w:val="0"/>
          <w:color w:val="auto"/>
          <w:spacing w:val="0"/>
          <w:sz w:val="32"/>
          <w:szCs w:val="32"/>
          <w:u w:val="none"/>
        </w:rPr>
        <w:t>2022年11月11日</w:t>
      </w:r>
    </w:p>
    <w:p>
      <w:pPr>
        <w:jc w:val="center"/>
        <w:rPr>
          <w:rFonts w:hint="eastAsia" w:ascii="方正小标宋简体" w:eastAsia="方正小标宋简体"/>
          <w:bCs/>
          <w:color w:val="FF0000"/>
          <w:w w:val="66"/>
          <w:sz w:val="160"/>
          <w:szCs w:val="160"/>
        </w:rPr>
      </w:pPr>
    </w:p>
    <w:p>
      <w:pPr>
        <w:jc w:val="center"/>
        <w:rPr>
          <w:rFonts w:hint="eastAsia" w:ascii="方正小标宋简体" w:eastAsia="方正小标宋简体"/>
          <w:bCs/>
          <w:color w:val="FF0000"/>
          <w:w w:val="66"/>
          <w:sz w:val="160"/>
          <w:szCs w:val="160"/>
        </w:rPr>
      </w:pPr>
    </w:p>
    <w:p>
      <w:pPr>
        <w:jc w:val="both"/>
        <w:rPr>
          <w:rFonts w:hint="eastAsia" w:ascii="方正小标宋简体" w:eastAsia="方正小标宋简体"/>
          <w:bCs/>
          <w:color w:val="FF0000"/>
          <w:w w:val="66"/>
          <w:sz w:val="160"/>
          <w:szCs w:val="160"/>
        </w:rPr>
      </w:pPr>
      <w:r>
        <w:rPr>
          <w:rFonts w:hint="eastAsia" w:ascii="方正小标宋简体" w:eastAsia="方正小标宋简体"/>
          <w:bCs/>
          <w:color w:val="FF0000"/>
          <w:w w:val="66"/>
          <w:sz w:val="160"/>
          <w:szCs w:val="160"/>
        </w:rPr>
        <w:t>内江市财政局文件</w:t>
      </w:r>
    </w:p>
    <w:p>
      <w:pPr>
        <w:rPr>
          <w:rFonts w:hint="eastAsia"/>
          <w:sz w:val="44"/>
          <w:szCs w:val="44"/>
        </w:rPr>
      </w:pPr>
    </w:p>
    <w:p>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0"/>
          <w:sz w:val="32"/>
          <w:szCs w:val="32"/>
          <w:lang w:bidi="ar"/>
        </w:rPr>
      </w:pPr>
      <w:bookmarkStart w:id="4" w:name="doc_mark"/>
      <w:r>
        <w:rPr>
          <w:rFonts w:hint="eastAsia" w:ascii="仿宋_GB2312" w:hAnsi="仿宋_GB2312" w:eastAsia="仿宋_GB2312" w:cs="仿宋_GB2312"/>
          <w:kern w:val="0"/>
          <w:sz w:val="32"/>
          <w:szCs w:val="32"/>
          <w:lang w:bidi="ar"/>
        </w:rPr>
        <w:t>内财采〔2022〕</w:t>
      </w:r>
      <w:r>
        <w:rPr>
          <w:rFonts w:hint="eastAsia" w:ascii="仿宋_GB2312" w:hAnsi="仿宋_GB2312" w:eastAsia="仿宋_GB2312" w:cs="仿宋_GB2312"/>
          <w:kern w:val="0"/>
          <w:sz w:val="32"/>
          <w:szCs w:val="32"/>
          <w:lang w:val="en-US" w:eastAsia="zh-CN" w:bidi="ar"/>
        </w:rPr>
        <w:t>33</w:t>
      </w:r>
      <w:r>
        <w:rPr>
          <w:rFonts w:hint="eastAsia" w:ascii="仿宋_GB2312" w:hAnsi="仿宋_GB2312" w:eastAsia="仿宋_GB2312" w:cs="仿宋_GB2312"/>
          <w:kern w:val="0"/>
          <w:sz w:val="32"/>
          <w:szCs w:val="32"/>
          <w:lang w:bidi="ar"/>
        </w:rPr>
        <w:t>号</w:t>
      </w:r>
      <w:bookmarkEnd w:id="4"/>
    </w:p>
    <w:p>
      <w:pPr>
        <w:rPr>
          <w:rFonts w:hint="eastAsia"/>
          <w:sz w:val="44"/>
          <w:szCs w:val="44"/>
        </w:rPr>
      </w:pPr>
      <w:r>
        <w:rPr>
          <w:sz w:val="44"/>
          <w:szCs w:val="44"/>
          <w:lang w:bidi="ar-SA"/>
        </w:rPr>
        <mc:AlternateContent>
          <mc:Choice Requires="wps">
            <w:drawing>
              <wp:anchor distT="0" distB="0" distL="114300" distR="114300" simplePos="0" relativeHeight="251666432" behindDoc="0" locked="0" layoutInCell="1" allowOverlap="1">
                <wp:simplePos x="0" y="0"/>
                <wp:positionH relativeFrom="column">
                  <wp:posOffset>-31750</wp:posOffset>
                </wp:positionH>
                <wp:positionV relativeFrom="paragraph">
                  <wp:posOffset>147955</wp:posOffset>
                </wp:positionV>
                <wp:extent cx="5372100" cy="0"/>
                <wp:effectExtent l="0" t="13970" r="0" b="24130"/>
                <wp:wrapNone/>
                <wp:docPr id="11" name="直接连接符 11"/>
                <wp:cNvGraphicFramePr/>
                <a:graphic xmlns:a="http://schemas.openxmlformats.org/drawingml/2006/main">
                  <a:graphicData uri="http://schemas.microsoft.com/office/word/2010/wordprocessingShape">
                    <wps:wsp>
                      <wps:cNvCnPr/>
                      <wps:spPr>
                        <a:xfrm>
                          <a:off x="0" y="0"/>
                          <a:ext cx="537210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pt;margin-top:11.65pt;height:0pt;width:423pt;z-index:251666432;mso-width-relative:page;mso-height-relative:page;" filled="f" stroked="t" coordsize="21600,21600" o:gfxdata="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3TbozWAAAACAEAAA8AAAAAAAAAAQAgAAAAIgAAAGRycy9kb3ducmV2LnhtbFBL&#10;AQIUABQAAAAIAIdO4kANiL5F+AEAAOcDAAAOAAAAAAAAAAEAIAAAACUBAABkcnMvZTJvRG9jLnht&#10;bFBLBQYAAAAABgAGAFkBAACPBQAAAAA=&#10;">
                <v:fill on="f" focussize="0,0"/>
                <v:stroke weight="2.25pt" color="#FF0000" joinstyle="round"/>
                <v:imagedata o:title=""/>
                <o:lock v:ext="edit" aspectratio="f"/>
              </v:line>
            </w:pict>
          </mc:Fallback>
        </mc:AlternateContent>
      </w:r>
      <w:r>
        <w:rPr>
          <w:rFonts w:hint="eastAsia"/>
          <w:sz w:val="44"/>
          <w:szCs w:val="44"/>
        </w:rPr>
        <w:t xml:space="preserve"> </w:t>
      </w:r>
    </w:p>
    <w:p>
      <w:pPr>
        <w:rPr>
          <w:rFonts w:hint="eastAsia"/>
          <w:sz w:val="44"/>
          <w:szCs w:val="44"/>
        </w:rPr>
      </w:pPr>
      <w:r>
        <w:rPr>
          <w:rFonts w:hint="eastAsia" w:ascii="仿宋_GB2312" w:eastAsia="仿宋_GB2312"/>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afterLines="0" w:line="700" w:lineRule="exact"/>
        <w:jc w:val="center"/>
        <w:textAlignment w:val="auto"/>
        <w:rPr>
          <w:rFonts w:hint="eastAsia" w:ascii="方正小标宋简体" w:hAnsi="Times New Roman" w:eastAsia="方正小标宋简体"/>
          <w:sz w:val="44"/>
          <w:szCs w:val="44"/>
        </w:rPr>
      </w:pPr>
      <w:r>
        <w:rPr>
          <w:rFonts w:hint="eastAsia" w:ascii="方正小标宋简体" w:hAnsi="Times New Roman" w:eastAsia="方正小标宋简体"/>
          <w:sz w:val="44"/>
          <w:szCs w:val="44"/>
        </w:rPr>
        <w:t>内江市财政局</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cs="Times New Roman"/>
          <w:sz w:val="44"/>
          <w:szCs w:val="44"/>
          <w:lang w:val="en-US" w:eastAsia="zh-CN"/>
        </w:rPr>
      </w:pPr>
      <w:bookmarkStart w:id="5" w:name="OLE_LINK1"/>
      <w:r>
        <w:rPr>
          <w:rFonts w:hint="eastAsia" w:ascii="Times New Roman" w:hAnsi="Times New Roman" w:eastAsia="方正小标宋简体" w:cs="Times New Roman"/>
          <w:sz w:val="44"/>
          <w:szCs w:val="44"/>
          <w:lang w:val="en-US" w:eastAsia="zh-CN"/>
        </w:rPr>
        <w:t>关于强化政府采购项目履约验收</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管理工作的通知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z w:val="44"/>
          <w:szCs w:val="4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bidi="ar"/>
        </w:rPr>
        <w:t>各县（市、区）财政局，内江经开区、内江高新区财政局，市级各部门（单位）：</w:t>
      </w:r>
    </w:p>
    <w:p>
      <w:pPr>
        <w:keepNext w:val="0"/>
        <w:keepLines w:val="0"/>
        <w:pageBreakBefore w:val="0"/>
        <w:widowControl/>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近年来，我市各级各部门在政府采购履约验收管理中还不同程度存在认识不到位、责任不清晰、措施不细化等问题。为进一步优化政府采购营商环境，压实采购人主体责任,根据《中华人民共和国政府采购法》、《中华人民共和国政府采购法实施条例》（国务院令第658号）、《财政部关于进一步加强政府采购需求和履约验收管理的指导意见》（财库〔2016〕205号）及</w:t>
      </w:r>
      <w:r>
        <w:rPr>
          <w:rFonts w:hint="eastAsia" w:ascii="仿宋_GB2312" w:hAnsi="仿宋_GB2312" w:eastAsia="仿宋_GB2312" w:cs="仿宋_GB2312"/>
          <w:color w:val="000000"/>
          <w:sz w:val="32"/>
          <w:szCs w:val="32"/>
          <w:lang w:val="en-US" w:eastAsia="zh-CN"/>
        </w:rPr>
        <w:t>《四川省政府采购营商环境指标提升专项行动工作方案》（内财采〔2020〕74号)</w:t>
      </w:r>
      <w:r>
        <w:rPr>
          <w:rFonts w:hint="eastAsia" w:ascii="仿宋_GB2312" w:hAnsi="仿宋_GB2312" w:eastAsia="仿宋_GB2312" w:cs="仿宋_GB2312"/>
          <w:kern w:val="0"/>
          <w:sz w:val="32"/>
          <w:szCs w:val="32"/>
          <w:lang w:val="en-US" w:eastAsia="zh-CN" w:bidi="ar"/>
        </w:rPr>
        <w:t>等有关规定，结合我市实际，现就进一步做好政府采购项目履约验收管理相关工作通知如下。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一、履约验收重要性</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依法加强政府采购履约验收管理工作，是深化政府采购制度改革、提高政府采购质效的重要保证，是加强政府采购结果管理的重要举措，是保证采购质量、开展绩效评价、形成闭环管理的重要环节，对实现采购与预算、资产及财务等管理工作协调联动具有重要意义。政府采购履约验收应当遵循全面完整、客观真实、公开透明的原则，坚持应验必验、验收必严、违约必究。各级各部门要充分认识政府采购履约验收管理工作的重要性和必要性，严格政府采购活动的结果管理，切实履行采购人主体责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二、规范开展履约验收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kern w:val="0"/>
          <w:sz w:val="32"/>
          <w:szCs w:val="32"/>
          <w:lang w:val="en-US" w:eastAsia="zh-CN" w:bidi="ar"/>
        </w:rPr>
        <w:t>履约验收主体。</w:t>
      </w:r>
      <w:r>
        <w:rPr>
          <w:rFonts w:hint="eastAsia" w:ascii="仿宋_GB2312" w:hAnsi="仿宋_GB2312" w:eastAsia="仿宋_GB2312" w:cs="仿宋_GB2312"/>
          <w:kern w:val="0"/>
          <w:sz w:val="32"/>
          <w:szCs w:val="32"/>
          <w:lang w:val="en-US" w:eastAsia="zh-CN" w:bidi="ar"/>
        </w:rPr>
        <w:t>政府采购项目无论金额大小，都要进行履约验收。履约验收工作由采购人负责。采购人可以根据采购项目的具体情况自行组织项目验收，或者委托采购代理机构验收，但委托验收不能免除采购人应当承担的法律责任。采购人委托政府采购代理机构组织履约验收的，验收服务费及验收过程中发生的有关费用不得由供应商支付。</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kern w:val="0"/>
          <w:sz w:val="32"/>
          <w:szCs w:val="32"/>
          <w:lang w:val="en-US" w:eastAsia="zh-CN" w:bidi="ar"/>
        </w:rPr>
        <w:t>完善验收方式。</w:t>
      </w:r>
      <w:r>
        <w:rPr>
          <w:rFonts w:hint="eastAsia" w:ascii="仿宋_GB2312" w:hAnsi="仿宋_GB2312" w:eastAsia="仿宋_GB2312" w:cs="仿宋_GB2312"/>
          <w:kern w:val="0"/>
          <w:sz w:val="32"/>
          <w:szCs w:val="32"/>
          <w:lang w:val="en-US" w:eastAsia="zh-CN" w:bidi="ar"/>
        </w:rPr>
        <w:t>中标、成交金额较大（市级500万以上、县级300万元以上）、技术复杂的政府采购项目，应当邀请国家认可的质量、技术检测机构参加验收。政府向社会公众提供的公共服务项目，验收时还应当邀请3个以上服务对象参与、出具意见，并将验收结果于验收结束之日起2个工作日内通过“四川省政府采购网”向社会公告。采购人和实际使用人或者受益者分离采购项目，验收方应当通知3人以上实际使用人和受益者对履约验收情况进行社会监督。供应商对采购结果有质疑投诉举报的采购项目，应当邀请该供应商参加验收工作。</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kern w:val="0"/>
          <w:sz w:val="32"/>
          <w:szCs w:val="32"/>
          <w:lang w:val="en-US" w:eastAsia="zh-CN" w:bidi="ar"/>
        </w:rPr>
        <w:t>压实验收责任。</w:t>
      </w:r>
      <w:r>
        <w:rPr>
          <w:rFonts w:hint="eastAsia" w:ascii="仿宋_GB2312" w:hAnsi="仿宋_GB2312" w:eastAsia="仿宋_GB2312" w:cs="仿宋_GB2312"/>
          <w:kern w:val="0"/>
          <w:sz w:val="32"/>
          <w:szCs w:val="32"/>
          <w:lang w:val="en-US" w:eastAsia="zh-CN" w:bidi="ar"/>
        </w:rPr>
        <w:t>政府采购项目验收合格后，采购人应当根据采购合同的约定及时向供应商支付采购资金，验收不合格的项目，采购人应当依法及时处理。采购合同的履行、违约责任和解决争议的方式等适用《中华人民共和国民法典》。供应商在履约过程中有政府采购法律法规规定的违法违规情形的，采购人应当及时报告本级财政部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0" w:firstLineChars="0"/>
        <w:jc w:val="both"/>
        <w:textAlignment w:val="auto"/>
        <w:rPr>
          <w:rFonts w:hint="eastAsia" w:ascii="黑体" w:hAnsi="黑体" w:eastAsia="黑体" w:cs="黑体"/>
          <w:kern w:val="0"/>
          <w:sz w:val="32"/>
          <w:szCs w:val="32"/>
          <w:lang w:val="en-US" w:eastAsia="zh-CN" w:bidi="ar"/>
        </w:rPr>
      </w:pPr>
      <w:r>
        <w:rPr>
          <w:rFonts w:hint="eastAsia" w:ascii="黑体" w:hAnsi="黑体" w:eastAsia="黑体" w:cs="黑体"/>
          <w:kern w:val="0"/>
          <w:sz w:val="32"/>
          <w:szCs w:val="32"/>
          <w:lang w:val="en-US" w:eastAsia="zh-CN" w:bidi="ar"/>
        </w:rPr>
        <w:t xml:space="preserve">   </w:t>
      </w:r>
      <w:r>
        <w:rPr>
          <w:rFonts w:hint="eastAsia" w:ascii="黑体" w:hAnsi="黑体" w:eastAsia="黑体" w:cs="黑体"/>
          <w:kern w:val="2"/>
          <w:sz w:val="32"/>
          <w:szCs w:val="32"/>
          <w:lang w:val="en-US" w:eastAsia="zh-CN" w:bidi="ar"/>
        </w:rPr>
        <w:t xml:space="preserve"> 三、严格履约验收程序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kern w:val="0"/>
          <w:sz w:val="32"/>
          <w:szCs w:val="32"/>
          <w:lang w:val="en-US" w:eastAsia="zh-CN" w:bidi="ar"/>
        </w:rPr>
        <w:t>（一）成立验收小组。</w:t>
      </w:r>
      <w:r>
        <w:rPr>
          <w:rFonts w:hint="eastAsia" w:ascii="仿宋_GB2312" w:hAnsi="仿宋_GB2312" w:eastAsia="仿宋_GB2312" w:cs="仿宋_GB2312"/>
          <w:kern w:val="0"/>
          <w:sz w:val="32"/>
          <w:szCs w:val="32"/>
          <w:lang w:val="en-US" w:eastAsia="zh-CN" w:bidi="ar"/>
        </w:rPr>
        <w:t>采购人及其委托的采购代理机构（下 称验收方）开展政府采购履约验收应当成立验收小组，指定负责 验收小组工作的直接负责人。验收方可以根据政府采购项目的需 要临时组建验收小组，也可以成立日常验收小组。验收小组应当由熟悉政府采购项目采购需求、技术需要的人员(单数)组成。验收小组代表验收方履行验收工作职责。验收小组应当认真履行项目验收职责，按照验收方案实施验收，确保项目验收意见客观真实反映合同履行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kern w:val="0"/>
          <w:sz w:val="32"/>
          <w:szCs w:val="32"/>
          <w:lang w:val="en-US" w:eastAsia="zh-CN" w:bidi="ar"/>
        </w:rPr>
        <w:t>（二）制定验收方案。</w:t>
      </w:r>
      <w:r>
        <w:rPr>
          <w:rFonts w:hint="eastAsia" w:ascii="仿宋_GB2312" w:hAnsi="仿宋_GB2312" w:eastAsia="仿宋_GB2312" w:cs="仿宋_GB2312"/>
          <w:kern w:val="0"/>
          <w:sz w:val="32"/>
          <w:szCs w:val="32"/>
          <w:lang w:val="en-US" w:eastAsia="zh-CN" w:bidi="ar"/>
        </w:rPr>
        <w:t>验收小组应当根据政府采购项目的具体情况，制定具体详细的采购项目验收工作方案。履约验收方案根据项目验收清单和标准、招标（采购）文件对项目的技术和商务规定要求、供应商投标（响应）承诺情况、合同明确约定的要求等制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kern w:val="0"/>
          <w:sz w:val="32"/>
          <w:szCs w:val="32"/>
          <w:lang w:val="en-US" w:eastAsia="zh-CN" w:bidi="ar"/>
        </w:rPr>
        <w:t>（三）实施验收。</w:t>
      </w:r>
      <w:r>
        <w:rPr>
          <w:rFonts w:hint="eastAsia" w:ascii="仿宋_GB2312" w:hAnsi="仿宋_GB2312" w:eastAsia="仿宋_GB2312" w:cs="仿宋_GB2312"/>
          <w:kern w:val="0"/>
          <w:sz w:val="32"/>
          <w:szCs w:val="32"/>
          <w:lang w:val="en-US" w:eastAsia="zh-CN" w:bidi="ar"/>
        </w:rPr>
        <w:t>验收小组应当在供应商履约完成后及时实施验收。验收小组成员根据履约验收方案，对供应商提供的货物、服务、工程按照招标（采购）文件、投标（响应）文件、封存样品、政府采购合同款项进行逐一核对、查验，并做好验收记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 xml:space="preserve">   </w:t>
      </w:r>
      <w:r>
        <w:rPr>
          <w:rFonts w:hint="eastAsia" w:ascii="楷体_GB2312" w:hAnsi="楷体_GB2312" w:eastAsia="楷体_GB2312" w:cs="楷体_GB2312"/>
          <w:kern w:val="0"/>
          <w:sz w:val="32"/>
          <w:szCs w:val="32"/>
          <w:lang w:val="en-US" w:eastAsia="zh-CN" w:bidi="ar"/>
        </w:rPr>
        <w:t>（四）出具验收报告。</w:t>
      </w:r>
      <w:r>
        <w:rPr>
          <w:rFonts w:hint="eastAsia" w:ascii="仿宋_GB2312" w:hAnsi="仿宋_GB2312" w:eastAsia="仿宋_GB2312" w:cs="仿宋_GB2312"/>
          <w:kern w:val="0"/>
          <w:sz w:val="32"/>
          <w:szCs w:val="32"/>
          <w:lang w:val="en-US" w:eastAsia="zh-CN" w:bidi="ar"/>
        </w:rPr>
        <w:t xml:space="preserve">验收小组完成验收后，应当出具验收报告。验收报告的内容应包括：实施验收过程基本情况陈述，供应商每一项技术、服务、安全标准等履约情况，与政府采购合同约定的权利义务比较情况，验收结论性意见。验收小组成员应在验收报告上签字确认，对验收报告内容负责。验收小组成员的个人验收记录和个人验收意见应作为验收报告附件。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楷体_GB2312" w:hAnsi="楷体_GB2312" w:eastAsia="楷体_GB2312" w:cs="楷体_GB2312"/>
          <w:kern w:val="0"/>
          <w:sz w:val="32"/>
          <w:szCs w:val="32"/>
          <w:lang w:val="en-US" w:eastAsia="zh-CN" w:bidi="ar"/>
        </w:rPr>
        <w:t>（五）录入履约验收结果及发布验收公告。</w:t>
      </w:r>
      <w:r>
        <w:rPr>
          <w:rFonts w:hint="eastAsia" w:ascii="仿宋_GB2312" w:hAnsi="仿宋_GB2312" w:eastAsia="仿宋_GB2312" w:cs="仿宋_GB2312"/>
          <w:kern w:val="0"/>
          <w:sz w:val="32"/>
          <w:szCs w:val="32"/>
          <w:lang w:val="en-US" w:eastAsia="zh-CN" w:bidi="ar"/>
        </w:rPr>
        <w:t>采购项目验收后，采购人经办岗应当在四川政</w:t>
      </w:r>
      <w:r>
        <w:rPr>
          <w:rFonts w:hint="eastAsia" w:ascii="仿宋_GB2312" w:hAnsi="仿宋_GB2312" w:eastAsia="仿宋_GB2312" w:cs="仿宋_GB2312"/>
          <w:color w:val="auto"/>
          <w:kern w:val="0"/>
          <w:sz w:val="32"/>
          <w:szCs w:val="32"/>
          <w:lang w:val="en-US" w:eastAsia="zh-CN" w:bidi="ar"/>
        </w:rPr>
        <w:t>府采购网“四川省政府采购一体化平台”（以下简称一体化平台）录入合同基本信息、项目验收情况、上传验收相关报告、提交单位审核岗审核。其中针对政府采购工程项目，需要上传项目经理（负责人）、监理意见等相关资料。单位审核岗审核后在一体化平台发布验收公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kern w:val="0"/>
          <w:sz w:val="32"/>
          <w:szCs w:val="32"/>
          <w:lang w:val="en-US" w:eastAsia="zh-CN" w:bidi="ar"/>
        </w:rPr>
        <w:t>（六）验收资料归档。</w:t>
      </w:r>
      <w:r>
        <w:rPr>
          <w:rFonts w:hint="eastAsia" w:ascii="仿宋_GB2312" w:hAnsi="仿宋_GB2312" w:eastAsia="仿宋_GB2312" w:cs="仿宋_GB2312"/>
          <w:kern w:val="0"/>
          <w:sz w:val="32"/>
          <w:szCs w:val="32"/>
          <w:lang w:val="en-US" w:eastAsia="zh-CN" w:bidi="ar"/>
        </w:rPr>
        <w:t>采购项目完成验收后，采购人应当将验收原始记录、验收报告等验收资料作为该采购项目档案封存并妥善保管，不得伪造、变造、隐匿或者销毁。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kern w:val="0"/>
          <w:sz w:val="32"/>
          <w:szCs w:val="32"/>
          <w:lang w:val="en-US" w:eastAsia="zh-CN" w:bidi="ar"/>
        </w:rPr>
        <w:t xml:space="preserve"> （七）规范保证金及资金支付。</w:t>
      </w:r>
      <w:r>
        <w:rPr>
          <w:rFonts w:hint="eastAsia" w:ascii="仿宋_GB2312" w:hAnsi="仿宋_GB2312" w:eastAsia="仿宋_GB2312" w:cs="仿宋_GB2312"/>
          <w:kern w:val="0"/>
          <w:sz w:val="32"/>
          <w:szCs w:val="32"/>
          <w:lang w:val="en-US" w:eastAsia="zh-CN" w:bidi="ar"/>
        </w:rPr>
        <w:t>全面取消投标保证金和履约保证金。货物和服务类项目不得收取质保金等没有法律依据的保证金。采购人应当按照政府采购合同约定，自验收合格（或收到发票）之日起，20日内向供应商支付采购资金，不得以机构变动、人员更替、政策调整等为由延迟付款。不得将采购文件和合同中未规定的义务作为向供应商付款的条件。服务类、工程类项目分期验收的，根据项目实施进度分期及时支付采购资金；因采购人原因延期付款的，应对供应商支付延期利息等给予补偿或赔偿，都应在采购合同中约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left="920" w:left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五、工作要求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kern w:val="0"/>
          <w:sz w:val="32"/>
          <w:szCs w:val="32"/>
          <w:lang w:bidi="ar"/>
        </w:rPr>
      </w:pPr>
      <w:r>
        <w:rPr>
          <w:rFonts w:hint="eastAsia" w:ascii="楷体_GB2312" w:hAnsi="楷体_GB2312" w:eastAsia="楷体_GB2312" w:cs="楷体_GB2312"/>
          <w:kern w:val="0"/>
          <w:sz w:val="32"/>
          <w:szCs w:val="32"/>
          <w:lang w:val="en-US" w:eastAsia="zh-CN" w:bidi="ar"/>
        </w:rPr>
        <w:t>（一）强化采购人对履约验收的主体责任。</w:t>
      </w:r>
      <w:r>
        <w:rPr>
          <w:rFonts w:hint="eastAsia" w:ascii="仿宋_GB2312" w:hAnsi="仿宋_GB2312" w:eastAsia="仿宋_GB2312" w:cs="仿宋_GB2312"/>
          <w:i w:val="0"/>
          <w:caps w:val="0"/>
          <w:spacing w:val="0"/>
          <w:kern w:val="0"/>
          <w:sz w:val="32"/>
          <w:szCs w:val="32"/>
          <w:lang w:val="en-US" w:eastAsia="zh-CN" w:bidi="ar"/>
        </w:rPr>
        <w:t>采购人应当对供应商履约情况依法开展验收，严把采购质量关，切实履行采购主体责任。</w:t>
      </w:r>
      <w:r>
        <w:rPr>
          <w:rFonts w:hint="eastAsia" w:ascii="仿宋_GB2312" w:hAnsi="仿宋_GB2312" w:eastAsia="仿宋_GB2312" w:cs="仿宋_GB2312"/>
          <w:kern w:val="0"/>
          <w:sz w:val="32"/>
          <w:szCs w:val="32"/>
          <w:lang w:val="en-US" w:eastAsia="zh-CN" w:bidi="ar"/>
        </w:rPr>
        <w:t>采购人应当健全内部控制管理制度，明确验收机制，履行验收责任，确认验收结论，及时处理项目验收中发现的问题，并向同级财政部门反映供应商违约失信行为。</w:t>
      </w:r>
      <w:r>
        <w:rPr>
          <w:rFonts w:hint="eastAsia" w:ascii="仿宋_GB2312" w:hAnsi="仿宋_GB2312" w:eastAsia="仿宋_GB2312" w:cs="仿宋_GB2312"/>
          <w:i w:val="0"/>
          <w:caps w:val="0"/>
          <w:spacing w:val="0"/>
          <w:kern w:val="0"/>
          <w:sz w:val="32"/>
          <w:szCs w:val="32"/>
          <w:lang w:val="en-US" w:eastAsia="zh-CN" w:bidi="ar"/>
        </w:rPr>
        <w:t>不得与中标、成交供应商串通不按照合同约定履行义务，不得由中标、成交供应商代拟验收报告，不得不经过验收直接签署验收报告。</w:t>
      </w:r>
      <w:r>
        <w:rPr>
          <w:rFonts w:hint="eastAsia" w:ascii="仿宋_GB2312" w:hAnsi="仿宋_GB2312" w:eastAsia="仿宋_GB2312" w:cs="仿宋_GB2312"/>
          <w:kern w:val="0"/>
          <w:sz w:val="32"/>
          <w:szCs w:val="32"/>
          <w:lang w:val="en-US" w:eastAsia="zh-CN" w:bidi="ar"/>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kern w:val="0"/>
          <w:sz w:val="32"/>
          <w:szCs w:val="32"/>
          <w:lang w:val="en-US" w:eastAsia="zh-CN" w:bidi="ar"/>
        </w:rPr>
        <w:t>（二）强化验收监督。</w:t>
      </w:r>
      <w:r>
        <w:rPr>
          <w:rFonts w:hint="eastAsia" w:ascii="仿宋_GB2312" w:hAnsi="仿宋_GB2312" w:eastAsia="仿宋_GB2312" w:cs="仿宋_GB2312"/>
          <w:kern w:val="0"/>
          <w:sz w:val="32"/>
          <w:szCs w:val="32"/>
          <w:lang w:val="en-US" w:eastAsia="zh-CN" w:bidi="ar"/>
        </w:rPr>
        <w:t xml:space="preserve">财政部门应当加对强采购人履约验收管理工作的监管，将以下内容纳入监督检查：采购人是否制定政府采购项目履约验收内部控制管理制度;是否履行了项目验收责任;项目验收工作是否符合规定程序和要求;验收方对于验收过程中发现的问题是否及时报告并妥善处理等。验收方还应接受和支持社会监督主体主动进行社会监督，不得拒绝社会监督申请，且应当积极做好履约验收准备工作。                                     </w:t>
      </w:r>
    </w:p>
    <w:p>
      <w:pPr>
        <w:keepNext w:val="0"/>
        <w:keepLines w:val="0"/>
        <w:pageBreakBefore w:val="0"/>
        <w:widowControl w:val="0"/>
        <w:kinsoku/>
        <w:wordWrap/>
        <w:overflowPunct/>
        <w:topLinePunct w:val="0"/>
        <w:autoSpaceDE w:val="0"/>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内江市财政局</w:t>
      </w:r>
    </w:p>
    <w:p>
      <w:pPr>
        <w:keepNext w:val="0"/>
        <w:keepLines w:val="0"/>
        <w:pageBreakBefore w:val="0"/>
        <w:widowControl w:val="0"/>
        <w:kinsoku/>
        <w:wordWrap/>
        <w:overflowPunct/>
        <w:topLinePunct w:val="0"/>
        <w:autoSpaceDN/>
        <w:bidi w:val="0"/>
        <w:adjustRightInd/>
        <w:snapToGrid/>
        <w:spacing w:line="580" w:lineRule="exact"/>
        <w:ind w:right="-58"/>
        <w:jc w:val="center"/>
        <w:textAlignment w:val="auto"/>
        <w:rPr>
          <w:rFonts w:hint="eastAsia"/>
          <w:color w:val="auto"/>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年11月</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日</w:t>
      </w:r>
      <w:bookmarkEnd w:id="5"/>
    </w:p>
    <w:p>
      <w:pPr>
        <w:pageBreakBefore w:val="0"/>
        <w:kinsoku/>
        <w:wordWrap/>
        <w:overflowPunct/>
        <w:topLinePunct w:val="0"/>
        <w:autoSpaceDE/>
        <w:autoSpaceDN/>
        <w:bidi w:val="0"/>
        <w:adjustRightInd/>
        <w:snapToGrid/>
        <w:spacing w:line="560" w:lineRule="exact"/>
        <w:ind w:right="0"/>
        <w:jc w:val="both"/>
        <w:textAlignment w:val="auto"/>
        <w:rPr>
          <w:rFonts w:hint="eastAsia" w:ascii="方正小标宋简体" w:eastAsia="方正小标宋简体"/>
          <w:color w:val="auto"/>
        </w:rPr>
      </w:pPr>
      <w:r>
        <w:rPr>
          <w:rFonts w:hint="eastAsia" w:ascii="黑体" w:eastAsia="黑体"/>
          <w:color w:val="auto"/>
        </w:rPr>
        <w:t>信息公开选项：</w:t>
      </w:r>
      <w:r>
        <w:rPr>
          <w:rFonts w:hint="eastAsia" w:ascii="方正小标宋简体" w:eastAsia="方正小标宋简体"/>
          <w:color w:val="auto"/>
          <w:lang w:eastAsia="zh-CN"/>
        </w:rPr>
        <w:t>主动</w:t>
      </w:r>
      <w:r>
        <w:rPr>
          <w:rFonts w:hint="eastAsia" w:ascii="方正小标宋简体" w:eastAsia="方正小标宋简体"/>
          <w:color w:val="auto"/>
        </w:rPr>
        <w:t>公开</w:t>
      </w:r>
    </w:p>
    <w:p>
      <w:pPr>
        <w:pageBreakBefore w:val="0"/>
        <w:kinsoku/>
        <w:wordWrap/>
        <w:overflowPunct/>
        <w:topLinePunct w:val="0"/>
        <w:autoSpaceDE/>
        <w:autoSpaceDN/>
        <w:bidi w:val="0"/>
        <w:adjustRightInd/>
        <w:snapToGrid/>
        <w:spacing w:line="560" w:lineRule="exact"/>
        <w:ind w:right="0"/>
        <w:jc w:val="both"/>
        <w:textAlignment w:val="auto"/>
        <w:rPr>
          <w:rFonts w:hint="eastAsia" w:ascii="Times New Roman" w:hAnsi="Times New Roman" w:cs="Times New Roman"/>
          <w:b/>
          <w:bCs/>
          <w:color w:val="auto"/>
          <w:sz w:val="36"/>
          <w:szCs w:val="36"/>
          <w:lang w:val="en-US" w:eastAsia="zh-CN"/>
        </w:rPr>
      </w:pPr>
      <w:r>
        <w:rPr>
          <w:color w:val="auto"/>
          <w:sz w:val="32"/>
        </w:rPr>
        <mc:AlternateContent>
          <mc:Choice Requires="wps">
            <w:drawing>
              <wp:anchor distT="0" distB="0" distL="114300" distR="114300" simplePos="0" relativeHeight="251665408" behindDoc="0" locked="0" layoutInCell="1" allowOverlap="1">
                <wp:simplePos x="0" y="0"/>
                <wp:positionH relativeFrom="column">
                  <wp:posOffset>1559560</wp:posOffset>
                </wp:positionH>
                <wp:positionV relativeFrom="paragraph">
                  <wp:posOffset>601980</wp:posOffset>
                </wp:positionV>
                <wp:extent cx="725805" cy="417195"/>
                <wp:effectExtent l="0" t="0" r="17145" b="1905"/>
                <wp:wrapNone/>
                <wp:docPr id="10" name="矩形 10"/>
                <wp:cNvGraphicFramePr/>
                <a:graphic xmlns:a="http://schemas.openxmlformats.org/drawingml/2006/main">
                  <a:graphicData uri="http://schemas.microsoft.com/office/word/2010/wordprocessingShape">
                    <wps:wsp>
                      <wps:cNvSpPr/>
                      <wps:spPr>
                        <a:xfrm>
                          <a:off x="0" y="0"/>
                          <a:ext cx="725805" cy="41719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122.8pt;margin-top:47.4pt;height:32.85pt;width:57.15pt;z-index:251665408;mso-width-relative:page;mso-height-relative:page;" fillcolor="#FFFFFF" filled="t" stroked="f" coordsize="21600,21600" o:gfxdata="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2Vcm+&#10;1wAAAAoBAAAPAAAAAAAAAAEAIAAAACIAAABkcnMvZG93bnJldi54bWxQSwECFAAUAAAACACHTuJA&#10;cEDKeLABAABgAwAADgAAAAAAAAABACAAAAAmAQAAZHJzL2Uyb0RvYy54bWxQSwUGAAAAAAYABgBZ&#10;AQAASAUAAAAA&#10;">
                <v:fill on="t" focussize="0,0"/>
                <v:stroke on="f"/>
                <v:imagedata o:title=""/>
                <o:lock v:ext="edit" aspectratio="f"/>
              </v:rect>
            </w:pict>
          </mc:Fallback>
        </mc:AlternateContent>
      </w:r>
      <w:r>
        <w:rPr>
          <w:rFonts w:hint="eastAsia" w:ascii="仿宋_GB2312" w:eastAsia="仿宋_GB2312"/>
          <w:color w:val="auto"/>
          <w:lang w:bidi="ar-SA"/>
        </w:rPr>
        <mc:AlternateContent>
          <mc:Choice Requires="wps">
            <w:drawing>
              <wp:anchor distT="0" distB="0" distL="114300" distR="114300" simplePos="0" relativeHeight="251664384" behindDoc="0" locked="0" layoutInCell="1" allowOverlap="1">
                <wp:simplePos x="0" y="0"/>
                <wp:positionH relativeFrom="column">
                  <wp:posOffset>1272540</wp:posOffset>
                </wp:positionH>
                <wp:positionV relativeFrom="paragraph">
                  <wp:posOffset>1151890</wp:posOffset>
                </wp:positionV>
                <wp:extent cx="949325" cy="384810"/>
                <wp:effectExtent l="0" t="0" r="3175" b="15240"/>
                <wp:wrapNone/>
                <wp:docPr id="9" name="矩形 9"/>
                <wp:cNvGraphicFramePr/>
                <a:graphic xmlns:a="http://schemas.openxmlformats.org/drawingml/2006/main">
                  <a:graphicData uri="http://schemas.microsoft.com/office/word/2010/wordprocessingShape">
                    <wps:wsp>
                      <wps:cNvSpPr/>
                      <wps:spPr>
                        <a:xfrm>
                          <a:off x="0" y="0"/>
                          <a:ext cx="949325" cy="38481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100.2pt;margin-top:90.7pt;height:30.3pt;width:74.75pt;z-index:251664384;mso-width-relative:page;mso-height-relative:page;" fillcolor="#FFFFFF" filled="t" stroked="f" coordsize="21600,21600" o:gfxdata="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Z&#10;TwV41wAAAAsBAAAPAAAAAAAAAAEAIAAAACIAAABkcnMvZG93bnJldi54bWxQSwECFAAUAAAACACH&#10;TuJAu6j2grMBAABeAwAADgAAAAAAAAABACAAAAAmAQAAZHJzL2Uyb0RvYy54bWxQSwUGAAAAAAYA&#10;BgBZAQAASwUAAAAA&#10;">
                <v:fill on="t" focussize="0,0"/>
                <v:stroke on="f"/>
                <v:imagedata o:title=""/>
                <o:lock v:ext="edit" aspectratio="f"/>
              </v:rect>
            </w:pict>
          </mc:Fallback>
        </mc:AlternateContent>
      </w:r>
      <w:r>
        <w:rPr>
          <w:rFonts w:hint="eastAsia" w:ascii="仿宋_GB2312" w:eastAsia="仿宋_GB2312"/>
          <w:color w:val="auto"/>
          <w:sz w:val="28"/>
          <w:szCs w:val="28"/>
          <w:u w:val="thick"/>
          <w:lang w:bidi="ar-SA"/>
        </w:rPr>
        <mc:AlternateContent>
          <mc:Choice Requires="wps">
            <w:drawing>
              <wp:anchor distT="0" distB="0" distL="114300" distR="114300" simplePos="0" relativeHeight="251662336" behindDoc="0" locked="0" layoutInCell="1" allowOverlap="1">
                <wp:simplePos x="0" y="0"/>
                <wp:positionH relativeFrom="column">
                  <wp:posOffset>-10795</wp:posOffset>
                </wp:positionH>
                <wp:positionV relativeFrom="paragraph">
                  <wp:posOffset>377190</wp:posOffset>
                </wp:positionV>
                <wp:extent cx="5657215" cy="17145"/>
                <wp:effectExtent l="0" t="0" r="0" b="0"/>
                <wp:wrapNone/>
                <wp:docPr id="8" name="直接连接符 8"/>
                <wp:cNvGraphicFramePr/>
                <a:graphic xmlns:a="http://schemas.openxmlformats.org/drawingml/2006/main">
                  <a:graphicData uri="http://schemas.microsoft.com/office/word/2010/wordprocessingShape">
                    <wps:wsp>
                      <wps:cNvCnPr/>
                      <wps:spPr>
                        <a:xfrm>
                          <a:off x="0" y="0"/>
                          <a:ext cx="5657215" cy="1714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85pt;margin-top:29.7pt;height:1.35pt;width:445.45pt;z-index:251662336;mso-width-relative:page;mso-height-relative:page;" filled="f" stroked="t" coordsize="21600,21600" o:gfxdata="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fBAVf1wAAAAgBAAAPAAAAAAAAAAEAIAAAACIAAABkcnMvZG93bnJldi54bWxQ&#10;SwECFAAUAAAACACHTuJA2XX47/gBAADpAwAADgAAAAAAAAABACAAAAAmAQAAZHJzL2Uyb0RvYy54&#10;bWxQSwUGAAAAAAYABgBZAQAAkAUAAAAA&#10;">
                <v:fill on="f" focussize="0,0"/>
                <v:stroke weight="1.5pt" color="#000000" joinstyle="round"/>
                <v:imagedata o:title=""/>
                <o:lock v:ext="edit" aspectratio="f"/>
              </v:line>
            </w:pict>
          </mc:Fallback>
        </mc:AlternateContent>
      </w:r>
      <w:r>
        <w:rPr>
          <w:rFonts w:hint="eastAsia" w:ascii="仿宋_GB2312" w:eastAsia="仿宋_GB2312"/>
          <w:color w:val="auto"/>
          <w:sz w:val="28"/>
          <w:szCs w:val="28"/>
          <w:u w:val="thick"/>
          <w:lang w:bidi="ar-SA"/>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43180</wp:posOffset>
                </wp:positionV>
                <wp:extent cx="5600065" cy="20955"/>
                <wp:effectExtent l="0" t="9525" r="635" b="26670"/>
                <wp:wrapNone/>
                <wp:docPr id="7" name="直接连接符 7"/>
                <wp:cNvGraphicFramePr/>
                <a:graphic xmlns:a="http://schemas.openxmlformats.org/drawingml/2006/main">
                  <a:graphicData uri="http://schemas.microsoft.com/office/word/2010/wordprocessingShape">
                    <wps:wsp>
                      <wps:cNvCnPr/>
                      <wps:spPr>
                        <a:xfrm>
                          <a:off x="0" y="0"/>
                          <a:ext cx="5600065" cy="2095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7pt;margin-top:3.4pt;height:1.65pt;width:440.95pt;z-index:251663360;mso-width-relative:page;mso-height-relative:page;" filled="f" stroked="t" coordsize="21600,21600" o:gfxdata="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dioXNIAAAAGAQAADwAAAAAAAAABACAAAAAiAAAAZHJzL2Rvd25yZXYueG1sUEsBAhQA&#10;FAAAAAgAh07iQGafhfr4AQAA6QMAAA4AAAAAAAAAAQAgAAAAIQEAAGRycy9lMm9Eb2MueG1sUEsF&#10;BgAAAAAGAAYAWQEAAIsFAAAAAA==&#10;">
                <v:fill on="f" focussize="0,0"/>
                <v:stroke weight="1.5pt" color="#000000" joinstyle="round"/>
                <v:imagedata o:title=""/>
                <o:lock v:ext="edit" aspectratio="f"/>
              </v:line>
            </w:pict>
          </mc:Fallback>
        </mc:AlternateContent>
      </w:r>
      <w:r>
        <w:rPr>
          <w:rFonts w:hint="eastAsia" w:ascii="仿宋_GB2312" w:eastAsia="仿宋_GB2312"/>
          <w:color w:val="auto"/>
          <w:sz w:val="28"/>
          <w:szCs w:val="28"/>
        </w:rPr>
        <w:t xml:space="preserve">  内江市财政局办公室                     2022年</w:t>
      </w:r>
      <w:r>
        <w:rPr>
          <w:rFonts w:hint="eastAsia" w:ascii="仿宋_GB2312" w:eastAsia="仿宋_GB2312"/>
          <w:color w:val="auto"/>
          <w:sz w:val="28"/>
          <w:szCs w:val="28"/>
          <w:lang w:val="en-US" w:eastAsia="zh-CN"/>
        </w:rPr>
        <w:t>11</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14</w:t>
      </w:r>
      <w:r>
        <w:rPr>
          <w:rFonts w:hint="eastAsia" w:ascii="仿宋_GB2312" w:eastAsia="仿宋_GB2312"/>
          <w:color w:val="auto"/>
          <w:sz w:val="28"/>
          <w:szCs w:val="28"/>
        </w:rPr>
        <w:t>日印发</w:t>
      </w:r>
    </w:p>
    <w:sectPr>
      <w:headerReference r:id="rId4" w:type="default"/>
      <w:footerReference r:id="rId5" w:type="default"/>
      <w:pgSz w:w="11906" w:h="16838"/>
      <w:pgMar w:top="1440" w:right="1701" w:bottom="1361" w:left="170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rPr>
                              <w:rStyle w:val="18"/>
                              <w:sz w:val="28"/>
                              <w:szCs w:val="28"/>
                            </w:rPr>
                          </w:pPr>
                          <w:r>
                            <w:rPr>
                              <w:rStyle w:val="18"/>
                              <w:rFonts w:hint="eastAsia"/>
                              <w:sz w:val="28"/>
                              <w:szCs w:val="28"/>
                            </w:rPr>
                            <w:t xml:space="preserve">— </w:t>
                          </w:r>
                          <w:r>
                            <w:rPr>
                              <w:sz w:val="28"/>
                              <w:szCs w:val="28"/>
                            </w:rPr>
                            <w:fldChar w:fldCharType="begin"/>
                          </w:r>
                          <w:r>
                            <w:rPr>
                              <w:rStyle w:val="18"/>
                              <w:sz w:val="28"/>
                              <w:szCs w:val="28"/>
                            </w:rPr>
                            <w:instrText xml:space="preserve">PAGE  </w:instrText>
                          </w:r>
                          <w:r>
                            <w:rPr>
                              <w:sz w:val="28"/>
                              <w:szCs w:val="28"/>
                            </w:rPr>
                            <w:fldChar w:fldCharType="separate"/>
                          </w:r>
                          <w:r>
                            <w:rPr>
                              <w:rStyle w:val="18"/>
                              <w:sz w:val="28"/>
                              <w:szCs w:val="28"/>
                            </w:rPr>
                            <w:t>2</w:t>
                          </w:r>
                          <w:r>
                            <w:rPr>
                              <w:sz w:val="28"/>
                              <w:szCs w:val="28"/>
                            </w:rPr>
                            <w:fldChar w:fldCharType="end"/>
                          </w:r>
                          <w:r>
                            <w:rPr>
                              <w:rStyle w:val="18"/>
                              <w:rFonts w:hint="eastAsia"/>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pPr>
                      <w:pStyle w:val="10"/>
                      <w:rPr>
                        <w:rStyle w:val="18"/>
                        <w:sz w:val="28"/>
                        <w:szCs w:val="28"/>
                      </w:rPr>
                    </w:pPr>
                    <w:r>
                      <w:rPr>
                        <w:rStyle w:val="18"/>
                        <w:rFonts w:hint="eastAsia"/>
                        <w:sz w:val="28"/>
                        <w:szCs w:val="28"/>
                      </w:rPr>
                      <w:t xml:space="preserve">— </w:t>
                    </w:r>
                    <w:r>
                      <w:rPr>
                        <w:sz w:val="28"/>
                        <w:szCs w:val="28"/>
                      </w:rPr>
                      <w:fldChar w:fldCharType="begin"/>
                    </w:r>
                    <w:r>
                      <w:rPr>
                        <w:rStyle w:val="18"/>
                        <w:sz w:val="28"/>
                        <w:szCs w:val="28"/>
                      </w:rPr>
                      <w:instrText xml:space="preserve">PAGE  </w:instrText>
                    </w:r>
                    <w:r>
                      <w:rPr>
                        <w:sz w:val="28"/>
                        <w:szCs w:val="28"/>
                      </w:rPr>
                      <w:fldChar w:fldCharType="separate"/>
                    </w:r>
                    <w:r>
                      <w:rPr>
                        <w:rStyle w:val="18"/>
                        <w:sz w:val="28"/>
                        <w:szCs w:val="28"/>
                      </w:rPr>
                      <w:t>2</w:t>
                    </w:r>
                    <w:r>
                      <w:rPr>
                        <w:sz w:val="28"/>
                        <w:szCs w:val="28"/>
                      </w:rPr>
                      <w:fldChar w:fldCharType="end"/>
                    </w:r>
                    <w:r>
                      <w:rPr>
                        <w:rStyle w:val="18"/>
                        <w:rFonts w:hint="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
    <w:nsid w:val="65E39A48"/>
    <w:multiLevelType w:val="singleLevel"/>
    <w:tmpl w:val="65E39A48"/>
    <w:lvl w:ilvl="0" w:tentative="0">
      <w:start w:val="1"/>
      <w:numFmt w:val="chineseCounting"/>
      <w:suff w:val="nothing"/>
      <w:lvlText w:val="（%1）"/>
      <w:lvlJc w:val="left"/>
      <w:rPr>
        <w:rFonts w:hint="eastAsia" w:ascii="楷体_GB2312" w:hAnsi="楷体_GB2312" w:eastAsia="楷体_GB2312" w:cs="楷体_GB231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iYTgyNzY4MWFiZjBkNGQzZThhYzQ3NTk2NWQ4MTUifQ=="/>
  </w:docVars>
  <w:rsids>
    <w:rsidRoot w:val="00BB6EF3"/>
    <w:rsid w:val="002415CC"/>
    <w:rsid w:val="002578E7"/>
    <w:rsid w:val="00282716"/>
    <w:rsid w:val="003A0794"/>
    <w:rsid w:val="003D5C9D"/>
    <w:rsid w:val="00407DFE"/>
    <w:rsid w:val="004F01F6"/>
    <w:rsid w:val="006E55E0"/>
    <w:rsid w:val="00A230A2"/>
    <w:rsid w:val="00A84594"/>
    <w:rsid w:val="00AB5DBE"/>
    <w:rsid w:val="00BB6EF3"/>
    <w:rsid w:val="00BE65D5"/>
    <w:rsid w:val="00E066FD"/>
    <w:rsid w:val="02711862"/>
    <w:rsid w:val="03896796"/>
    <w:rsid w:val="04EE11A0"/>
    <w:rsid w:val="0A8F250D"/>
    <w:rsid w:val="0CB74F14"/>
    <w:rsid w:val="0DDF7F0F"/>
    <w:rsid w:val="112F78F5"/>
    <w:rsid w:val="159E4F57"/>
    <w:rsid w:val="16664F0B"/>
    <w:rsid w:val="16A508EC"/>
    <w:rsid w:val="193C0666"/>
    <w:rsid w:val="19A014FC"/>
    <w:rsid w:val="1AB55230"/>
    <w:rsid w:val="1B580B29"/>
    <w:rsid w:val="1C712284"/>
    <w:rsid w:val="1E9366C3"/>
    <w:rsid w:val="1EC107A0"/>
    <w:rsid w:val="200707C0"/>
    <w:rsid w:val="202460D5"/>
    <w:rsid w:val="20B05F0B"/>
    <w:rsid w:val="22E13B9F"/>
    <w:rsid w:val="24C9264A"/>
    <w:rsid w:val="27336584"/>
    <w:rsid w:val="284A4D82"/>
    <w:rsid w:val="2B661505"/>
    <w:rsid w:val="2E674D5C"/>
    <w:rsid w:val="347F6A0B"/>
    <w:rsid w:val="355B436B"/>
    <w:rsid w:val="35B04BF9"/>
    <w:rsid w:val="3B9E41DA"/>
    <w:rsid w:val="3BB23479"/>
    <w:rsid w:val="3CC034B8"/>
    <w:rsid w:val="3FF55553"/>
    <w:rsid w:val="40B553AA"/>
    <w:rsid w:val="42E81CF7"/>
    <w:rsid w:val="454430E1"/>
    <w:rsid w:val="455D1A40"/>
    <w:rsid w:val="47EC202F"/>
    <w:rsid w:val="4BA821A3"/>
    <w:rsid w:val="4BFA22D2"/>
    <w:rsid w:val="4CBA3FDD"/>
    <w:rsid w:val="4D1B6B91"/>
    <w:rsid w:val="4DAC581E"/>
    <w:rsid w:val="4EF1754D"/>
    <w:rsid w:val="4F053BBF"/>
    <w:rsid w:val="4F7C1EB2"/>
    <w:rsid w:val="4F893200"/>
    <w:rsid w:val="52531823"/>
    <w:rsid w:val="54A31759"/>
    <w:rsid w:val="54C316A7"/>
    <w:rsid w:val="57B440D1"/>
    <w:rsid w:val="5822570E"/>
    <w:rsid w:val="594D692D"/>
    <w:rsid w:val="59A4194C"/>
    <w:rsid w:val="5A155D68"/>
    <w:rsid w:val="5BFC0F76"/>
    <w:rsid w:val="5E4E7034"/>
    <w:rsid w:val="5E995E67"/>
    <w:rsid w:val="607336E2"/>
    <w:rsid w:val="60956B25"/>
    <w:rsid w:val="60B574CA"/>
    <w:rsid w:val="61CB3D52"/>
    <w:rsid w:val="61E8102E"/>
    <w:rsid w:val="68F6216C"/>
    <w:rsid w:val="69621182"/>
    <w:rsid w:val="6A060537"/>
    <w:rsid w:val="6B2A237B"/>
    <w:rsid w:val="6CA71D39"/>
    <w:rsid w:val="6DF64B98"/>
    <w:rsid w:val="6E046B86"/>
    <w:rsid w:val="71B179CD"/>
    <w:rsid w:val="74DF3598"/>
    <w:rsid w:val="762F1526"/>
    <w:rsid w:val="76DF543D"/>
    <w:rsid w:val="774C0BAB"/>
    <w:rsid w:val="77851B5A"/>
    <w:rsid w:val="77C83101"/>
    <w:rsid w:val="780D679B"/>
    <w:rsid w:val="784D58CB"/>
    <w:rsid w:val="785318AA"/>
    <w:rsid w:val="799A0AA4"/>
    <w:rsid w:val="7D174FB1"/>
    <w:rsid w:val="7FB93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tabs>
        <w:tab w:val="left" w:pos="0"/>
      </w:tabs>
      <w:spacing w:before="280" w:after="156" w:line="377" w:lineRule="auto"/>
      <w:jc w:val="left"/>
      <w:outlineLvl w:val="4"/>
    </w:pPr>
    <w:rPr>
      <w:rFonts w:ascii="Arial" w:hAnsi="Arial" w:eastAsia="黑体"/>
      <w:b/>
      <w:kern w:val="0"/>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6">
    <w:name w:val="Body Text"/>
    <w:basedOn w:val="1"/>
    <w:next w:val="7"/>
    <w:qFormat/>
    <w:uiPriority w:val="0"/>
    <w:pPr>
      <w:spacing w:after="120" w:afterLines="0" w:afterAutospacing="0"/>
    </w:pPr>
  </w:style>
  <w:style w:type="paragraph" w:styleId="7">
    <w:name w:val="Body Text First Indent"/>
    <w:basedOn w:val="6"/>
    <w:qFormat/>
    <w:uiPriority w:val="0"/>
    <w:pPr>
      <w:suppressAutoHyphens w:val="0"/>
      <w:spacing w:after="120" w:afterLines="0" w:line="240" w:lineRule="auto"/>
      <w:ind w:firstLine="420" w:firstLineChars="100"/>
    </w:pPr>
    <w:rPr>
      <w:rFonts w:ascii="Times New Roman" w:hAnsi="Times New Roman" w:eastAsia="楷体_GB2312" w:cs="Arial Unicode MS"/>
      <w:sz w:val="32"/>
      <w:lang w:bidi="bo-CN"/>
    </w:rPr>
  </w:style>
  <w:style w:type="paragraph" w:styleId="8">
    <w:name w:val="Body Text Indent"/>
    <w:basedOn w:val="1"/>
    <w:qFormat/>
    <w:uiPriority w:val="99"/>
    <w:pPr>
      <w:ind w:left="420" w:leftChars="200"/>
    </w:pPr>
    <w:rPr>
      <w:sz w:val="24"/>
    </w:rPr>
  </w:style>
  <w:style w:type="paragraph" w:styleId="9">
    <w:name w:val="Plain Text"/>
    <w:basedOn w:val="1"/>
    <w:qFormat/>
    <w:uiPriority w:val="99"/>
    <w:rPr>
      <w:rFonts w:ascii="??" w:hAnsi="Courier New" w:eastAsia="Times New Roma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39"/>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Body Text First Indent 2"/>
    <w:basedOn w:val="8"/>
    <w:qFormat/>
    <w:uiPriority w:val="99"/>
    <w:pPr>
      <w:spacing w:after="120"/>
      <w:ind w:firstLine="420"/>
    </w:pPr>
  </w:style>
  <w:style w:type="character" w:styleId="17">
    <w:name w:val="Strong"/>
    <w:basedOn w:val="16"/>
    <w:qFormat/>
    <w:uiPriority w:val="0"/>
    <w:rPr>
      <w:b/>
    </w:rPr>
  </w:style>
  <w:style w:type="character" w:styleId="18">
    <w:name w:val="page number"/>
    <w:basedOn w:val="16"/>
    <w:qFormat/>
    <w:uiPriority w:val="0"/>
  </w:style>
  <w:style w:type="character" w:styleId="19">
    <w:name w:val="Hyperlink"/>
    <w:basedOn w:val="16"/>
    <w:unhideWhenUsed/>
    <w:qFormat/>
    <w:uiPriority w:val="99"/>
    <w:rPr>
      <w:color w:val="0563C1" w:themeColor="hyperlink"/>
      <w:u w:val="single"/>
      <w14:textFill>
        <w14:solidFill>
          <w14:schemeClr w14:val="hlink"/>
        </w14:solidFill>
      </w14:textFill>
    </w:rPr>
  </w:style>
  <w:style w:type="character" w:customStyle="1" w:styleId="20">
    <w:name w:val="标题 1 字符"/>
    <w:basedOn w:val="16"/>
    <w:link w:val="4"/>
    <w:qFormat/>
    <w:uiPriority w:val="0"/>
    <w:rPr>
      <w:rFonts w:asciiTheme="minorHAnsi" w:hAnsiTheme="minorHAnsi" w:eastAsiaTheme="minorEastAsia" w:cstheme="minorBidi"/>
      <w:b/>
      <w:bCs/>
      <w:kern w:val="44"/>
      <w:sz w:val="44"/>
      <w:szCs w:val="44"/>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Char Char Char Char Char Char Char Char Char Char Char Char Char Char1 Char Char Char Char"/>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BA4DE-7F73-40B1-ADD8-A1C074E599E1}">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16</Pages>
  <Words>8101</Words>
  <Characters>8166</Characters>
  <Lines>157</Lines>
  <Paragraphs>44</Paragraphs>
  <TotalTime>1</TotalTime>
  <ScaleCrop>false</ScaleCrop>
  <LinksUpToDate>false</LinksUpToDate>
  <CharactersWithSpaces>8303</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DHQ</dc:creator>
  <cp:lastModifiedBy>admin</cp:lastModifiedBy>
  <cp:lastPrinted>2022-09-02T06:16:00Z</cp:lastPrinted>
  <dcterms:modified xsi:type="dcterms:W3CDTF">2022-11-25T10:26:17Z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A934D8DDF0A042A59C0B5220CB94575E</vt:lpwstr>
  </property>
</Properties>
</file>